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32" w:rsidRPr="00D365D1" w:rsidRDefault="00415AA9" w:rsidP="00415AA9">
      <w:pPr>
        <w:jc w:val="both"/>
        <w:rPr>
          <w:rFonts w:ascii="Segoe UI" w:hAnsi="Segoe UI" w:cs="Segoe UI"/>
          <w:b/>
          <w:color w:val="0000CC"/>
          <w:sz w:val="24"/>
          <w:szCs w:val="24"/>
        </w:rPr>
      </w:pPr>
      <w:r w:rsidRPr="00D365D1">
        <w:rPr>
          <w:rFonts w:ascii="Segoe UI" w:hAnsi="Segoe UI" w:cs="Segoe UI"/>
          <w:b/>
          <w:color w:val="0000CC"/>
          <w:sz w:val="24"/>
          <w:szCs w:val="24"/>
        </w:rPr>
        <w:t>KỸ NĂNG XỬ LÝ MỘT SỐ TRƯỜNG HỢP VỀ CHI PHÍ THUẾ VÀ DOANH THU TÍNH THUẾ TRONG DOANH NGHIỆP</w:t>
      </w:r>
      <w:r w:rsidR="00522B7E">
        <w:rPr>
          <w:rFonts w:ascii="Segoe UI" w:hAnsi="Segoe UI" w:cs="Segoe UI"/>
          <w:b/>
          <w:color w:val="0000CC"/>
          <w:sz w:val="24"/>
          <w:szCs w:val="24"/>
        </w:rPr>
        <w:t xml:space="preserve"> (Cập nhật ngày 01/7/2019)</w:t>
      </w:r>
    </w:p>
    <w:p w:rsidR="00415AA9" w:rsidRPr="00204DDB" w:rsidRDefault="00864434" w:rsidP="00D115DB">
      <w:pPr>
        <w:spacing w:after="0"/>
        <w:jc w:val="both"/>
        <w:rPr>
          <w:rFonts w:ascii="Segoe UI" w:hAnsi="Segoe UI" w:cs="Segoe UI"/>
          <w:sz w:val="24"/>
          <w:szCs w:val="24"/>
        </w:rPr>
      </w:pPr>
      <w:r>
        <w:rPr>
          <w:rFonts w:ascii="Segoe UI" w:hAnsi="Segoe UI" w:cs="Segoe UI"/>
          <w:sz w:val="24"/>
          <w:szCs w:val="24"/>
        </w:rPr>
        <w:t>Trong thực tế công tác kê khai và hạch toán kế toán liên quan đến nghĩa vụ thuế tại doanh nghiệp thường gặp các trường hợp sau:</w:t>
      </w:r>
    </w:p>
    <w:p w:rsidR="00415AA9" w:rsidRPr="00D365D1" w:rsidRDefault="00415AA9" w:rsidP="00D115DB">
      <w:pPr>
        <w:spacing w:after="0"/>
        <w:jc w:val="both"/>
        <w:rPr>
          <w:rFonts w:ascii="Segoe UI" w:hAnsi="Segoe UI" w:cs="Segoe UI"/>
          <w:b/>
          <w:color w:val="0000CC"/>
          <w:sz w:val="24"/>
          <w:szCs w:val="24"/>
        </w:rPr>
      </w:pPr>
      <w:r w:rsidRPr="00D365D1">
        <w:rPr>
          <w:rFonts w:ascii="Segoe UI" w:hAnsi="Segoe UI" w:cs="Segoe UI"/>
          <w:b/>
          <w:color w:val="0000CC"/>
          <w:sz w:val="24"/>
          <w:szCs w:val="24"/>
        </w:rPr>
        <w:t>VỀ CHI PHÍ:</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1. Thừa chi phí không hợp lý</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2. Thiếu chi phí hợp lý. Những chi phí hợp lý có thể đưa vào nhưng không biết cách hợp lý hóa để đưa vào</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3. Cơ cấu chi phí mất cân đối</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4. Chi phí đưa vào không phù hợp chu kỳ SXKD để tạo ra doanh nhu</w:t>
      </w:r>
    </w:p>
    <w:p w:rsidR="007838E1" w:rsidRPr="00204DDB" w:rsidRDefault="007838E1" w:rsidP="00D115DB">
      <w:pPr>
        <w:spacing w:after="0"/>
        <w:jc w:val="both"/>
        <w:rPr>
          <w:rFonts w:ascii="Segoe UI" w:hAnsi="Segoe UI" w:cs="Segoe UI"/>
          <w:sz w:val="24"/>
          <w:szCs w:val="24"/>
        </w:rPr>
      </w:pPr>
      <w:r w:rsidRPr="00204DDB">
        <w:rPr>
          <w:rFonts w:ascii="Segoe UI" w:hAnsi="Segoe UI" w:cs="Segoe UI"/>
          <w:sz w:val="24"/>
          <w:szCs w:val="24"/>
        </w:rPr>
        <w:t>5. Một số chi phí có hóa đơn chứng từ không đủ điều kiện để nghi nhận là chi phí hợp lý</w:t>
      </w:r>
    </w:p>
    <w:p w:rsidR="007838E1" w:rsidRPr="00204DDB" w:rsidRDefault="007838E1" w:rsidP="00D115DB">
      <w:pPr>
        <w:spacing w:after="0"/>
        <w:jc w:val="both"/>
        <w:rPr>
          <w:rFonts w:ascii="Segoe UI" w:hAnsi="Segoe UI" w:cs="Segoe UI"/>
          <w:sz w:val="24"/>
          <w:szCs w:val="24"/>
        </w:rPr>
      </w:pPr>
      <w:r w:rsidRPr="00204DDB">
        <w:rPr>
          <w:rFonts w:ascii="Segoe UI" w:hAnsi="Segoe UI" w:cs="Segoe UI"/>
          <w:sz w:val="24"/>
          <w:szCs w:val="24"/>
        </w:rPr>
        <w:t>6. Hàng về trước hóa đơn về sau</w:t>
      </w:r>
    </w:p>
    <w:p w:rsidR="007838E1" w:rsidRPr="00204DDB" w:rsidRDefault="007838E1" w:rsidP="00D115DB">
      <w:pPr>
        <w:spacing w:after="0"/>
        <w:jc w:val="both"/>
        <w:rPr>
          <w:rFonts w:ascii="Segoe UI" w:hAnsi="Segoe UI" w:cs="Segoe UI"/>
          <w:sz w:val="24"/>
          <w:szCs w:val="24"/>
        </w:rPr>
      </w:pPr>
      <w:r w:rsidRPr="00204DDB">
        <w:rPr>
          <w:rFonts w:ascii="Segoe UI" w:hAnsi="Segoe UI" w:cs="Segoe UI"/>
          <w:sz w:val="24"/>
          <w:szCs w:val="24"/>
        </w:rPr>
        <w:t>………….</w:t>
      </w:r>
    </w:p>
    <w:p w:rsidR="007838E1" w:rsidRPr="00204DDB" w:rsidRDefault="007838E1" w:rsidP="00D115DB">
      <w:pPr>
        <w:spacing w:after="0"/>
        <w:jc w:val="both"/>
        <w:rPr>
          <w:rFonts w:ascii="Segoe UI" w:hAnsi="Segoe UI" w:cs="Segoe UI"/>
          <w:sz w:val="24"/>
          <w:szCs w:val="24"/>
        </w:rPr>
      </w:pPr>
      <w:r w:rsidRPr="00204DDB">
        <w:rPr>
          <w:rFonts w:ascii="Segoe UI" w:hAnsi="Segoe UI" w:cs="Segoe UI"/>
          <w:sz w:val="24"/>
          <w:szCs w:val="24"/>
        </w:rPr>
        <w:t>Vậy khi gặp phải một hoặc nhiều tình trạng như trên thì phải tính toán, cân đối và xử lý như thế nào?</w:t>
      </w:r>
    </w:p>
    <w:p w:rsidR="007838E1" w:rsidRPr="00204DDB" w:rsidRDefault="007838E1" w:rsidP="00D115DB">
      <w:pPr>
        <w:spacing w:after="0"/>
        <w:jc w:val="both"/>
        <w:rPr>
          <w:rFonts w:ascii="Segoe UI" w:hAnsi="Segoe UI" w:cs="Segoe UI"/>
          <w:sz w:val="24"/>
          <w:szCs w:val="24"/>
        </w:rPr>
      </w:pPr>
      <w:r w:rsidRPr="00204DDB">
        <w:rPr>
          <w:rFonts w:ascii="Segoe UI" w:hAnsi="Segoe UI" w:cs="Segoe UI"/>
          <w:sz w:val="24"/>
          <w:szCs w:val="24"/>
        </w:rPr>
        <w:t xml:space="preserve">Những loại chi phí nào không cần có hóa đơn tài chính vẫn được ghi nhận là chi phí hợp lý? Và để hợp lý nó bạn cần những </w:t>
      </w:r>
      <w:r w:rsidR="009C4F2F" w:rsidRPr="00204DDB">
        <w:rPr>
          <w:rFonts w:ascii="Segoe UI" w:hAnsi="Segoe UI" w:cs="Segoe UI"/>
          <w:sz w:val="24"/>
          <w:szCs w:val="24"/>
        </w:rPr>
        <w:t>gì?</w:t>
      </w:r>
    </w:p>
    <w:p w:rsidR="007838E1" w:rsidRPr="00204DDB" w:rsidRDefault="007838E1" w:rsidP="00415AA9">
      <w:pPr>
        <w:jc w:val="both"/>
        <w:rPr>
          <w:rFonts w:ascii="Segoe UI" w:hAnsi="Segoe UI" w:cs="Segoe UI"/>
          <w:sz w:val="24"/>
          <w:szCs w:val="24"/>
        </w:rPr>
      </w:pPr>
    </w:p>
    <w:p w:rsidR="00415AA9" w:rsidRPr="00D365D1" w:rsidRDefault="00415AA9" w:rsidP="00415AA9">
      <w:pPr>
        <w:jc w:val="both"/>
        <w:rPr>
          <w:rFonts w:ascii="Segoe UI" w:hAnsi="Segoe UI" w:cs="Segoe UI"/>
          <w:b/>
          <w:color w:val="0000CC"/>
          <w:sz w:val="24"/>
          <w:szCs w:val="24"/>
        </w:rPr>
      </w:pPr>
      <w:r w:rsidRPr="00D365D1">
        <w:rPr>
          <w:rFonts w:ascii="Segoe UI" w:hAnsi="Segoe UI" w:cs="Segoe UI"/>
          <w:b/>
          <w:color w:val="0000CC"/>
          <w:sz w:val="24"/>
          <w:szCs w:val="24"/>
        </w:rPr>
        <w:t>VỀ DOANH THU:</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1. Xuất hóa đơn không đúng thời điểm, dẫn đến phân bổ sai chi phí sai chu kỳ</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2. Xuất sai hóa đơn so với quy định</w:t>
      </w:r>
    </w:p>
    <w:p w:rsidR="00415AA9" w:rsidRPr="00204DDB" w:rsidRDefault="00415AA9" w:rsidP="00D115DB">
      <w:pPr>
        <w:spacing w:after="0"/>
        <w:jc w:val="both"/>
        <w:rPr>
          <w:rFonts w:ascii="Segoe UI" w:hAnsi="Segoe UI" w:cs="Segoe UI"/>
          <w:sz w:val="24"/>
          <w:szCs w:val="24"/>
        </w:rPr>
      </w:pPr>
      <w:r w:rsidRPr="00204DDB">
        <w:rPr>
          <w:rFonts w:ascii="Segoe UI" w:hAnsi="Segoe UI" w:cs="Segoe UI"/>
          <w:sz w:val="24"/>
          <w:szCs w:val="24"/>
        </w:rPr>
        <w:t>3. Xuất thiếu doanh thu, xác định thu nhập chịu thuế sai</w:t>
      </w:r>
    </w:p>
    <w:p w:rsidR="007838E1" w:rsidRPr="00204DDB" w:rsidRDefault="007838E1" w:rsidP="00D115DB">
      <w:pPr>
        <w:spacing w:after="0"/>
        <w:jc w:val="both"/>
        <w:rPr>
          <w:rFonts w:ascii="Segoe UI" w:hAnsi="Segoe UI" w:cs="Segoe UI"/>
          <w:sz w:val="24"/>
          <w:szCs w:val="24"/>
        </w:rPr>
      </w:pPr>
      <w:r w:rsidRPr="00204DDB">
        <w:rPr>
          <w:rFonts w:ascii="Segoe UI" w:hAnsi="Segoe UI" w:cs="Segoe UI"/>
          <w:sz w:val="24"/>
          <w:szCs w:val="24"/>
        </w:rPr>
        <w:t xml:space="preserve">5. Xuât hóa đơn đầu ra trong khi chưa có đầu vào </w:t>
      </w:r>
      <w:r w:rsidR="00D115DB">
        <w:rPr>
          <w:rFonts w:ascii="Segoe UI" w:hAnsi="Segoe UI" w:cs="Segoe UI"/>
          <w:sz w:val="24"/>
          <w:szCs w:val="24"/>
        </w:rPr>
        <w:t>đối với hàng hóa kinh doanh thương mại</w:t>
      </w:r>
      <w:r w:rsidRPr="00204DDB">
        <w:rPr>
          <w:rFonts w:ascii="Segoe UI" w:hAnsi="Segoe UI" w:cs="Segoe UI"/>
          <w:sz w:val="24"/>
          <w:szCs w:val="24"/>
        </w:rPr>
        <w:t>(âm kho)</w:t>
      </w:r>
      <w:r w:rsidR="00D115DB">
        <w:rPr>
          <w:rFonts w:ascii="Segoe UI" w:hAnsi="Segoe UI" w:cs="Segoe UI"/>
          <w:sz w:val="24"/>
          <w:szCs w:val="24"/>
        </w:rPr>
        <w:t xml:space="preserve"> hoặc đối với chi phí giá thành trong đơn vị sản xuất, dịch vụ.</w:t>
      </w:r>
    </w:p>
    <w:p w:rsidR="009C4F2F" w:rsidRPr="00204DDB" w:rsidRDefault="009C4F2F" w:rsidP="00D115DB">
      <w:pPr>
        <w:spacing w:after="0"/>
        <w:jc w:val="both"/>
        <w:rPr>
          <w:rFonts w:ascii="Segoe UI" w:hAnsi="Segoe UI" w:cs="Segoe UI"/>
          <w:sz w:val="24"/>
          <w:szCs w:val="24"/>
        </w:rPr>
      </w:pPr>
      <w:r w:rsidRPr="00204DDB">
        <w:rPr>
          <w:rFonts w:ascii="Segoe UI" w:hAnsi="Segoe UI" w:cs="Segoe UI"/>
          <w:sz w:val="24"/>
          <w:szCs w:val="24"/>
        </w:rPr>
        <w:t>6. Doanh thu để ngoài sổ sách, các khoản thu nhập tiềm ẩn rủi ro</w:t>
      </w:r>
    </w:p>
    <w:p w:rsidR="009C4F2F" w:rsidRPr="00204DDB" w:rsidRDefault="009C4F2F" w:rsidP="00D115DB">
      <w:pPr>
        <w:spacing w:after="0"/>
        <w:jc w:val="both"/>
        <w:rPr>
          <w:rFonts w:ascii="Segoe UI" w:hAnsi="Segoe UI" w:cs="Segoe UI"/>
          <w:sz w:val="24"/>
          <w:szCs w:val="24"/>
        </w:rPr>
      </w:pPr>
      <w:r w:rsidRPr="00204DDB">
        <w:rPr>
          <w:rFonts w:ascii="Segoe UI" w:hAnsi="Segoe UI" w:cs="Segoe UI"/>
          <w:sz w:val="24"/>
          <w:szCs w:val="24"/>
        </w:rPr>
        <w:t>……………………………</w:t>
      </w:r>
    </w:p>
    <w:p w:rsidR="009C4F2F" w:rsidRPr="00204DDB" w:rsidRDefault="009C4F2F" w:rsidP="009C4F2F">
      <w:pPr>
        <w:spacing w:after="0" w:line="240" w:lineRule="auto"/>
        <w:rPr>
          <w:rFonts w:ascii="Segoe UI" w:eastAsia="Times New Roman" w:hAnsi="Segoe UI" w:cs="Segoe UI"/>
          <w:b/>
          <w:color w:val="474747"/>
          <w:sz w:val="24"/>
          <w:szCs w:val="24"/>
          <w:shd w:val="clear" w:color="auto" w:fill="FFFFFF"/>
        </w:rPr>
      </w:pPr>
      <w:r w:rsidRPr="00204DDB">
        <w:rPr>
          <w:rFonts w:ascii="Segoe UI" w:eastAsia="Times New Roman" w:hAnsi="Segoe UI" w:cs="Segoe UI"/>
          <w:b/>
          <w:color w:val="474747"/>
          <w:sz w:val="24"/>
          <w:szCs w:val="24"/>
          <w:shd w:val="clear" w:color="auto" w:fill="FFFFFF"/>
        </w:rPr>
        <w:t>Theo đó:</w:t>
      </w:r>
    </w:p>
    <w:p w:rsidR="009C4F2F" w:rsidRPr="00204DDB" w:rsidRDefault="009C4F2F" w:rsidP="009C4F2F">
      <w:pPr>
        <w:spacing w:after="0" w:line="240" w:lineRule="auto"/>
        <w:rPr>
          <w:rFonts w:ascii="Segoe UI" w:eastAsia="Times New Roman" w:hAnsi="Segoe UI" w:cs="Segoe UI"/>
          <w:color w:val="474747"/>
          <w:sz w:val="24"/>
          <w:szCs w:val="24"/>
          <w:shd w:val="clear" w:color="auto" w:fill="FFFFFF"/>
        </w:rPr>
      </w:pPr>
      <w:r w:rsidRPr="00204DDB">
        <w:rPr>
          <w:rFonts w:ascii="Segoe UI" w:eastAsia="Times New Roman" w:hAnsi="Segoe UI" w:cs="Segoe UI"/>
          <w:color w:val="474747"/>
          <w:sz w:val="24"/>
          <w:szCs w:val="24"/>
          <w:shd w:val="clear" w:color="auto" w:fill="FFFFFF"/>
        </w:rPr>
        <w:t>+)Các khoản chi phí được trừ và không được trừ khi xác định thu nhập chịu thuế TNDN đang được quy định tại:</w:t>
      </w:r>
    </w:p>
    <w:p w:rsidR="009C4F2F" w:rsidRPr="00204DDB" w:rsidRDefault="009C4F2F" w:rsidP="009C4F2F">
      <w:pPr>
        <w:spacing w:after="0" w:line="240" w:lineRule="auto"/>
        <w:rPr>
          <w:rFonts w:ascii="Segoe UI" w:eastAsia="Times New Roman" w:hAnsi="Segoe UI" w:cs="Segoe UI"/>
          <w:sz w:val="24"/>
          <w:szCs w:val="24"/>
        </w:rPr>
      </w:pPr>
      <w:r w:rsidRPr="00204DDB">
        <w:rPr>
          <w:rFonts w:ascii="Segoe UI" w:eastAsia="Times New Roman" w:hAnsi="Segoe UI" w:cs="Segoe UI"/>
          <w:color w:val="474747"/>
          <w:sz w:val="24"/>
          <w:szCs w:val="24"/>
          <w:shd w:val="clear" w:color="auto" w:fill="FFFFFF"/>
        </w:rPr>
        <w:t xml:space="preserve"> Điều 6 của TT 78/2014/TT-BTC hướng dẫn về thuế TNDN có hiệu lực từ ngày 2/8/2014 và đã được sửa đổi bổ sung tại:</w:t>
      </w:r>
    </w:p>
    <w:p w:rsidR="009C4F2F" w:rsidRPr="00204DDB" w:rsidRDefault="009C4F2F" w:rsidP="009C4F2F">
      <w:pPr>
        <w:spacing w:after="0" w:line="240" w:lineRule="auto"/>
        <w:rPr>
          <w:rFonts w:ascii="Segoe UI" w:eastAsia="Times New Roman" w:hAnsi="Segoe UI" w:cs="Segoe UI"/>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lastRenderedPageBreak/>
        <w:t>+ Điều 6 của TT 119/2014/TT-BTC có hiệu lực từ 1/9/2014</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Điều 1 chương I của TT 151/2014/TT-BTC có hiệu lực từ ngày 15/11/2014.</w:t>
      </w:r>
    </w:p>
    <w:p w:rsidR="009C4F2F"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Điều 4 của thông tư 96/2015/TT-BTC (HL: 6/8/2015 nhưng được áp dụng cho kỳ tính thuế từ năm 2015)</w:t>
      </w:r>
    </w:p>
    <w:p w:rsidR="00D115DB" w:rsidRPr="00204DDB" w:rsidRDefault="00D115DB" w:rsidP="00D115DB">
      <w:pPr>
        <w:shd w:val="clear" w:color="auto" w:fill="FFFFFF"/>
        <w:spacing w:after="0" w:line="240" w:lineRule="auto"/>
        <w:jc w:val="both"/>
        <w:rPr>
          <w:rFonts w:ascii="Segoe UI" w:eastAsia="Times New Roman" w:hAnsi="Segoe UI" w:cs="Segoe UI"/>
          <w:color w:val="474747"/>
          <w:sz w:val="24"/>
          <w:szCs w:val="24"/>
        </w:rPr>
      </w:pPr>
      <w:r>
        <w:rPr>
          <w:rFonts w:ascii="Segoe UI" w:eastAsia="Times New Roman" w:hAnsi="Segoe UI" w:cs="Segoe UI"/>
          <w:color w:val="474747"/>
          <w:sz w:val="24"/>
          <w:szCs w:val="24"/>
        </w:rPr>
        <w:t>+ Điều 3 của thông tư số 25/2018/TT-BTC có hiệu lực từ 01/5/2018 về việc sửa đổi một số điều của thông tư 78/2014/TT-BTC</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FF0000"/>
          <w:sz w:val="24"/>
          <w:szCs w:val="24"/>
        </w:rPr>
        <w:t>I. Doanh nghiệp được trừ mọi khoản chi nếu đáp ứng đủ các điều kiện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a) Khoản chi thực tế phát sinh liên quan đến hoạt động sản xuất, kinh doanh của doanh nghiệp.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b) Khoản chi có đủ hóa đơn, chứng từ hợp pháp.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 Khoản chi nếu có hóa đơn mua hàng hóa, dịch vụ từng lần có giá trị từ 20 triệu đồng trở lên (giá đã bao gồm thuế G</w:t>
      </w:r>
      <w:bookmarkStart w:id="0" w:name="_GoBack"/>
      <w:bookmarkEnd w:id="0"/>
      <w:r w:rsidRPr="00204DDB">
        <w:rPr>
          <w:rFonts w:ascii="Segoe UI" w:eastAsia="Times New Roman" w:hAnsi="Segoe UI" w:cs="Segoe UI"/>
          <w:color w:val="474747"/>
          <w:sz w:val="24"/>
          <w:szCs w:val="24"/>
        </w:rPr>
        <w:t>TGT) khi thanh toán phải có chứng từ thanh toán không dùng tiền mặt</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mua hàng có giá trị từ </w:t>
      </w:r>
      <w:r w:rsidRPr="00204DDB">
        <w:rPr>
          <w:rFonts w:ascii="Segoe UI" w:eastAsia="Times New Roman" w:hAnsi="Segoe UI" w:cs="Segoe UI"/>
          <w:color w:val="FF0000"/>
          <w:sz w:val="24"/>
          <w:szCs w:val="24"/>
        </w:rPr>
        <w:t>hai mươi triệu đồng trở lên </w:t>
      </w:r>
      <w:r w:rsidRPr="00204DDB">
        <w:rPr>
          <w:rFonts w:ascii="Segoe UI" w:eastAsia="Times New Roman" w:hAnsi="Segoe UI" w:cs="Segoe UI"/>
          <w:color w:val="474747"/>
          <w:sz w:val="24"/>
          <w:szCs w:val="24"/>
        </w:rPr>
        <w:t>mà chưa thanh toán thì doanh nghiệp được tính vào chi phí được trừ nhưng khi thanh toán doanh nghiệp dùng tiền mặt thì doanh nghiệp phải kê khai, điều chỉnh giảm chi phí đó xuống (tức là chi phí này không được tính vào CP được trừ nữa).</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doanh nghiệp mua hàng hóa, dịch vụ liên quan đến hoạt động sản xuất kinh doanh của doanh nghiệp và có hóa đơn in trực tiếp từ máy tính tiền theo quy định của pháp luật về hóa đơn; mà hóa đơn này được thanh toán theo các quy định trên thì được tính vào chi phí được trừ.</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1. Chi phí trước khi thành lập DN: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Chi phí thành lập doanh nghiệp, chi phí đào tạo nhân viên, chi phí quảng cáo phát sinh trước khi thành lập doanh nghiệp, chi phí cho giai đoạn nghiên cứu, chi phí chuyển dịch địa điểm, chi phí mua để có và sử dụng các tài liệu kỹ thuật, bằng sáng chế, giấy phép chuyển giao công nghệ, nhãn hiệu thương mại, lợi thế kinh doanh không phải là tài sản cố định vô hình mà được phân bổ dần vào chi phí kinh doanh của doanh nghiệp trong thời gian tối đa không quá 3 năm theo quy định của Luật thuế TNDN.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(Theo khoản 3 điều 3 của thông tư 45/2013/TT-BTC)</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2. Trường hợp doanh nghiệp có chi phí liên quan đến phần giá trị tổn thất</w:t>
      </w:r>
      <w:r w:rsidRPr="00204DDB">
        <w:rPr>
          <w:rFonts w:ascii="Segoe UI" w:eastAsia="Times New Roman" w:hAnsi="Segoe UI" w:cs="Segoe UI"/>
          <w:color w:val="474747"/>
          <w:sz w:val="24"/>
          <w:szCs w:val="24"/>
        </w:rPr>
        <w:t> do thiên tai, dịch bệnh, hỏa hoạn và trường hợp bất khả kháng khác như: Hàng hóa bị hư hỏng do thay đổi quá trình sinh hóa tự nhiên, hàng hóa hết hạn sử dụng... không được bồi thường thì khoản chi này được tính vào chi phí được trừ khi xác định thu nhập chịu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Chi tiết về hồ sơ và cách thực hiện các bạn xem thêm tại đây: Chi phí tổn thất, hàng hóa hư hỏng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(Chú ý: các trường hợp mất do quản lý, do vận chuyển dù không được bùi thường thì cũng không được tính vào chi phí được trừ khi tính thuế TNDN)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D115DB">
        <w:rPr>
          <w:rFonts w:ascii="Segoe UI" w:eastAsia="Times New Roman" w:hAnsi="Segoe UI" w:cs="Segoe UI"/>
          <w:b/>
          <w:color w:val="3366FF"/>
          <w:sz w:val="24"/>
          <w:szCs w:val="24"/>
        </w:rPr>
        <w:t>3</w:t>
      </w:r>
      <w:r w:rsidRPr="00D115DB">
        <w:rPr>
          <w:rFonts w:ascii="Segoe UI" w:eastAsia="Times New Roman" w:hAnsi="Segoe UI" w:cs="Segoe UI"/>
          <w:b/>
          <w:bCs/>
          <w:color w:val="3366FF"/>
          <w:sz w:val="24"/>
          <w:szCs w:val="24"/>
        </w:rPr>
        <w:t>.</w:t>
      </w:r>
      <w:r w:rsidRPr="00204DDB">
        <w:rPr>
          <w:rFonts w:ascii="Segoe UI" w:eastAsia="Times New Roman" w:hAnsi="Segoe UI" w:cs="Segoe UI"/>
          <w:b/>
          <w:bCs/>
          <w:color w:val="3366FF"/>
          <w:sz w:val="24"/>
          <w:szCs w:val="24"/>
        </w:rPr>
        <w:t xml:space="preserve"> Khoản chi có tính chất phúc lợi chi trực tiếp cho người lao động như</w:t>
      </w:r>
      <w:r w:rsidRPr="00204DDB">
        <w:rPr>
          <w:rFonts w:ascii="Segoe UI" w:eastAsia="Times New Roman" w:hAnsi="Segoe UI" w:cs="Segoe UI"/>
          <w:color w:val="474747"/>
          <w:sz w:val="24"/>
          <w:szCs w:val="24"/>
        </w:rPr>
        <w:t xml:space="preserve">: chi đám hiếu, hỷ của bản thân và gia đình người lao động; chi nghỉ mát, chi hỗ trợ điều trị; chi hỗ </w:t>
      </w:r>
      <w:r w:rsidRPr="00204DDB">
        <w:rPr>
          <w:rFonts w:ascii="Segoe UI" w:eastAsia="Times New Roman" w:hAnsi="Segoe UI" w:cs="Segoe UI"/>
          <w:color w:val="474747"/>
          <w:sz w:val="24"/>
          <w:szCs w:val="24"/>
        </w:rPr>
        <w:lastRenderedPageBreak/>
        <w:t>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4 của TT 96/2015/TT-BTC) và những khoản chi có tính chất phúc lợi khác. Tổng số chi có tính chất phúc lợi nêu trên không quá 01 tháng lương bình quân thực tế thực hiện trong năm tính thuế của doanh nghiệp.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Việc xác định 01 tháng lương bình quân thực tế thực hiện trong năm tính thuế của doanh nghiệp được xác định bằng quỹ tiền lương thực hiện trong năm chia (:) 12 tháng.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doanh nghiệp hoạt động không đủ 12 tháng thì:</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Việc xác định 01 tháng lương bình quân thực tế thực hiện trong năm tính thuế được xác định bằng quỹ tiền lương thực hiện trong năm chia (:) số tháng thực tế hoạt động trong năm.</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4. Các khoản chi: quảng cáo, tiếp thị, khuyến mại, hoa hồng môi giới; chi tiếp tân, khánh tiết, hội nghị; chi hỗ trợ tiếp thị, chi hỗ trợ chi phí; chi cho, biếu, tặng hàng hóa, dịch vụ cho khách hàng: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Bắt đầu từ ngày 1/1/2015, khi Luật số: 71/2014/QH13, Hà Nội, ngày 26 tháng 11 năm 2014 - LUẬT SỬA ĐỔI, BỔ SUNG MỘT SỐ ĐIỀU CỦA CÁC LUẬT VỀ THUẾ có hiệu lực thì  tại Điều 1 - khoản 4. "Bãi bỏ điểm m khoản 2 Điều 9" của luật sửa đổi số 32/2013/QH13 - tức là "Dỡ bỏ trần chi quảng cáo, tiếp thị, khuyến mại, hoa hồng môi giới, tiếp tân, khánh tiết, hội nghị, hỗ trợ tiếp thị, hỗ trợ chi phí liên quan trực tiếp đến hoạt động sản xuất, kinh doanh 15% cho doanh nghiệp"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=&gt; Bắt đầu từ năm 2015, Các chi phí quảng cáo trên không còn bị khống chế nữa.</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(Trước ngày 1/1/2015: Theo Thông tư 78/2014/TT-BTC là bị khống chế 15%) </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5. Chi phí của doanh nghiệp mua hàng hóa, dịch vụ không có hóa đơn</w:t>
      </w:r>
      <w:r w:rsidRPr="00204DDB">
        <w:rPr>
          <w:rFonts w:ascii="Segoe UI" w:eastAsia="Times New Roman" w:hAnsi="Segoe UI" w:cs="Segoe UI"/>
          <w:color w:val="474747"/>
          <w:sz w:val="24"/>
          <w:szCs w:val="24"/>
        </w:rPr>
        <w:t> nhưng không lập Bảng kê 01/TNDN kèm theo chứng từ thanh toán cho người bán</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FF0000"/>
          <w:sz w:val="24"/>
          <w:szCs w:val="24"/>
        </w:rPr>
        <w:t> II. Các khoản chi không được trừ khi tính thuế TNDN:</w:t>
      </w:r>
    </w:p>
    <w:p w:rsidR="009C4F2F" w:rsidRPr="00204DDB" w:rsidRDefault="009C4F2F" w:rsidP="009C4F2F">
      <w:pPr>
        <w:shd w:val="clear" w:color="auto" w:fill="FFFFFF"/>
        <w:spacing w:after="0" w:line="240" w:lineRule="auto"/>
        <w:jc w:val="center"/>
        <w:rPr>
          <w:rFonts w:ascii="Segoe UI" w:eastAsia="Times New Roman" w:hAnsi="Segoe UI" w:cs="Segoe UI"/>
          <w:color w:val="474747"/>
          <w:sz w:val="24"/>
          <w:szCs w:val="24"/>
        </w:rPr>
      </w:pPr>
      <w:r w:rsidRPr="00204DDB">
        <w:rPr>
          <w:rFonts w:ascii="Segoe UI" w:eastAsia="Times New Roman" w:hAnsi="Segoe UI" w:cs="Segoe UI"/>
          <w:noProof/>
          <w:color w:val="2288BB"/>
          <w:sz w:val="24"/>
          <w:szCs w:val="24"/>
        </w:rPr>
        <w:lastRenderedPageBreak/>
        <w:drawing>
          <wp:inline distT="0" distB="0" distL="0" distR="0" wp14:anchorId="6EBCF220" wp14:editId="61A1A2B8">
            <wp:extent cx="2800350" cy="2857500"/>
            <wp:effectExtent l="0" t="0" r="0" b="0"/>
            <wp:docPr id="4" name="Picture 4" descr="http://lh4.googleusercontent.com/-JkUst9nR3As/VnkdCG6KC6I/AAAAAAAAAU0/nizbkUJP1g8/s1600/chi%2Bph%25C3%25AD%2Bkh%25C3%25B4ng%2B%25C4%2591%25C6%25B0%25E1%25BB%25A3c%2Btr%25E1%25BB%25A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oogleusercontent.com/-JkUst9nR3As/VnkdCG6KC6I/AAAAAAAAAU0/nizbkUJP1g8/s1600/chi%2Bph%25C3%25AD%2Bkh%25C3%25B4ng%2B%25C4%2591%25C6%25B0%25E1%25BB%25A3c%2Btr%25E1%25BB%25A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857500"/>
                    </a:xfrm>
                    <a:prstGeom prst="rect">
                      <a:avLst/>
                    </a:prstGeom>
                    <a:noFill/>
                    <a:ln>
                      <a:noFill/>
                    </a:ln>
                  </pic:spPr>
                </pic:pic>
              </a:graphicData>
            </a:graphic>
          </wp:inline>
        </w:drawing>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Gồm các khoản chi không đáp ứng đủ các điều kiện quy định tại phần I nêu trên và các trường hợp đặc biệt, khống chế mức chi như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1. Chi tiền lương, tiền công, tiền thưởng cho người lao động sẽ bị loại khỏi CP được trừ nếu: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Đã hạch toán vào chi phí sản xuất kinh doanh trong kỳ nhưng thực tế không chi trả hoặc không có chứng từ thanh toán. Hoặc trả sau thời hạn nộp hồ sơ quyết toán thuế năm.</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Các khoản tiền lương, tiền thưởng, chi mua bảo hiểm nhân thọ cho người lao động không được ghi cụ thể điều kiện được hưởng và mức được hưởng tại một trong các hồ sơ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Hợp đồng lao động;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Thoả ước lao động tập thể;</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Quy chế tài chính của Công ty, Tổng công ty, Tập đoàn;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Quy chế thưởng do Chủ tịch Hội đồng quản trị, Tổng giám đốc, Giám đốc quy định theo quy chế tài chính của Công ty, Tổng công ty.</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Tiền lương, tiền công của chủ doanh nghiệp tư nhân, chủ công ty trách nhiệm hữu hạn một thành viên (do một cá nhân làm chủ); thù lao trả cho các sáng lập viên, thành viên của hội đồng thành viên, hội đồng quản trị mà những người này không trực tiếp tham gia điều hành sản xuất, kinh doanh.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Chú ý: Theo CV 4568/TCT - TNCN ngày 16/10/2014 của Bộ Tài Chính thì "trường hợp Công ty TNHH một thành viên trả tiền lương, tiền công, tiền thù lao cho chủ sở hữu công ty là giám đốc trực tiếp tham gia điều hành sản xuất, kinh doanh thì được tính vào chi phí sản xuất kinh doanh của doanh nghiệp. Các khoản thu nhập trên được coi là tiền lương và phải nộp thuế thu nhập cá nhân từ tiền lương, tiền công theo quy định."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lastRenderedPageBreak/>
        <w:t>Công văn 4568 này làm cho rất nhiều kế toán nghĩ rằng sẽ được tính vào chi phí được trừ đối lương của giám đốc công ty TNHH MTV khi họ tham gia vào điều hành hoạt động SXKD.</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Nhưng đến ngày 3/3/2015, Tổng cục Thuế đã ban hành công văn 727/TCT-CS đã giải đáp vấn đề trên: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Căn cứ đặc thù của Doanh nghiệp tư nhân và Công ty TNHH một thành viên được thành lập theo quy định của Luật Doanh nghiệp thì khoản chi tiền lương, tiền công của chủ Doanh nghiệp tư nhân, chủ Công ty TNHH một thành viên (do một cá nhân làm chủ), (không phân biệt có hay không tham gia trực tiếp điêu hành sản xuất, kinh doanh) đều thuộc khoán chi phí quy định tai tiết d, điểm 2.5, khoản 2, Điều 6 Thông tư số 78/2014/TT-BTC nêu trên."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2. Chi trang phục:</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Phần chi trang phục bằng hiện vật cho người lao động không có hóa đơn, chứng từ. Phần chi trang phục bằng tiền cho người lao động vượt quá 05 (năm) triệu đồng/người/năm.</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D115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w:t>
      </w:r>
      <w:r w:rsidRPr="00204DDB">
        <w:rPr>
          <w:rFonts w:ascii="Segoe UI" w:eastAsia="Times New Roman" w:hAnsi="Segoe UI" w:cs="Segoe UI"/>
          <w:b/>
          <w:bCs/>
          <w:color w:val="3366FF"/>
          <w:sz w:val="24"/>
          <w:szCs w:val="24"/>
        </w:rPr>
        <w:t>3. Phần chi phí trả lãi tiền vay vốn sản xuất kinh doanh của cá nhân</w:t>
      </w:r>
      <w:r w:rsidRPr="00204DDB">
        <w:rPr>
          <w:rFonts w:ascii="Segoe UI" w:eastAsia="Times New Roman" w:hAnsi="Segoe UI" w:cs="Segoe UI"/>
          <w:color w:val="474747"/>
          <w:sz w:val="24"/>
          <w:szCs w:val="24"/>
        </w:rPr>
        <w:t xml:space="preserve"> - đối tượng không phải là tổ chức tín dụng hoặc tổ chức kinh tế vượt quá 150% mức lãi suất cơ bản </w:t>
      </w:r>
      <w:r w:rsidR="00D115DB">
        <w:rPr>
          <w:rFonts w:ascii="Segoe UI" w:eastAsia="Times New Roman" w:hAnsi="Segoe UI" w:cs="Segoe UI"/>
          <w:color w:val="474747"/>
          <w:sz w:val="24"/>
          <w:szCs w:val="24"/>
        </w:rPr>
        <w:t>của Ngân hàng thương mại nơi phát sinh giao dịch công bố tại thời điểm vay</w:t>
      </w:r>
      <w:r w:rsidRPr="00204DDB">
        <w:rPr>
          <w:rFonts w:ascii="Segoe UI" w:eastAsia="Times New Roman" w:hAnsi="Segoe UI" w:cs="Segoe UI"/>
          <w:color w:val="474747"/>
          <w:sz w:val="24"/>
          <w:szCs w:val="24"/>
        </w:rPr>
        <w:t xml:space="preserve">. </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4. Chi trả lãi tiền vay tương ứng với phần vốn điều lệ (đối với doanh nghiệp tư nhân</w:t>
      </w:r>
      <w:r w:rsidRPr="00204DDB">
        <w:rPr>
          <w:rFonts w:ascii="Segoe UI" w:eastAsia="Times New Roman" w:hAnsi="Segoe UI" w:cs="Segoe UI"/>
          <w:color w:val="474747"/>
          <w:sz w:val="24"/>
          <w:szCs w:val="24"/>
        </w:rPr>
        <w:t> là vốn đầu tư) đã đăng ký còn thiếu theo tiến độ góp vốn ghi trong điều lệ của doanh nghiệp kể cả trường hợp doanh nghiệp đã đi vào sản xuất kinh doanh. Chi trả lãi tiền vay trong quá trình đầu tư đã được ghi nhận vào giá trị của tài sản, giá trị công trình đầu tư.</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Chi trả lãi tiền vay tương ứng với vốn điều lệ còn thiếu theo tiến độ góp vốn ghi trong điều lệ của doanh nghiệp không được trừ khi xác định thu nhập chịu thuế được xác định như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số tiền vay nhỏ hơn hoặc bằng số vốn điều lệ còn thiếu thì toàn bộ lãi tiền vay là khoản chi không được trừ.</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số tiền vay lớn hơn số vốn điều lệ còn thiếu theo tiến độ góp vốn: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Nếu doanh nghiệp phát sinh nhiều khoản vay thì khoản chi trả lãi tiền vay không được trừ bằng tỷ lệ (%) giữa vốn điều lệ còn thiếu trên tổng số tiền vay nhân (x) tổng số lãi vay.</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lastRenderedPageBreak/>
        <w:t>+ Nếu doanh nghiệp chỉ phát sinh một khoản vay thì khoản chi trả lãi tiền không được trừ bằng số vốn điều lệ còn thiếu nhân (x) lãi suất của khoản vay nhân (x) thời gian góp vốn điều lệ còn thiếu.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Chú ý:</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Thời hạn góp vốn: Hiện nay được thực hiện theo luật doanh nghiệp mới: Luật số 68/2014/QH13 (Hiệu lưc từ 1/7/2015)</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Công ty TNHH (1TV, 2 TV), Công ty cổ phần: Thời hạn góp vố là 90 ngày kể từ ngày được cấp giấy phép đăng ký KD)</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(trước đây thời hạn của cty TNHH là 36 tháng -&gt; các công ty TNHH thành lập trước ngày 1/7/2015 vẫn được góp trong vòng 36 tháng)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Tại điều 23 - của NĐ 155/2013/NĐ-CP - Quy định xử phạt vi hành trong lĩnh vực kế hoạch và đầu tư ( HL: 1/1/2014) thì:</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 Phạt tiền từ 5.000.000 đồng đến 10.000.000 đồng đối với một trong các hành vi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a) Tiếp tục hoạt động khi đã kết thúc thời hạn hoạt động ghi trong Điều lệ mà không được gia hạn;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b) Không góp đúng hạn số vốn đã đăng ký.</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2. Phạt tiền từ 10.000.000 đồng đến 20.000.000 đồng đối với hành vi không góp đủ số vốn như đã đăng ký.</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5. Chi phụ cấp cho người lao động đi công tác phí </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Có hóa đơn, chứng từ phù hợp do người cung cấp hàng hóa, dịch vụ giao xuất.</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Doanh nghiệp có quyết định hoặc văn bản cử người lao động đi công tác.</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lastRenderedPageBreak/>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6. Chi khấu hao tài sản cố định sẽ bị loại trong các trường hợp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a) Chi khấu hao đối với tài sản cố định không sử dụng cho hoạt động sản xuất, kinh doanh hàng hóa, dịch vụ.</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b) Chi khấu hao đối với tài sản cố định không có giấy tờ chứng minh thuộc quyền sở hữu của doanh nghiệp (trừ tài sản cố định thuê mua tài chính). Ví dụ như mua ô tô: Doanh nghiệp phải làm thủ tục sang tên đổi chủ, để đứng tên doanh nghiệp sở hưu thì chi phí khấu hao mới được tính vào chi phí được trừ)</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 Chi khấu hao đối với tài sản cố định không được quản lý, theo dõi, hạch toán trong sổ sách kế toán của doanh nghiệp theo chế độ quản lý tài sản cố định và hạch toán kế toán hiện hành.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d) Phần trích khấu hao vượt mức quy định hiện hành của Bộ Tài chính về chế độ quản lý, sử dụng và trích khấu hao tài sản cố định. (Vượt khung quy định tại thông tư 45/2013/TT-BTC quy định về tài sản cố định)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xml:space="preserve">Doanh nghiệp hoạt động có hiệu quả kinh tế cao được trích khấu hao nhanh nhưng tối đa không quá 2 lần mức khấu hao xác định theo phương pháp đường thẳng để nhanh </w:t>
      </w:r>
      <w:r w:rsidRPr="00204DDB">
        <w:rPr>
          <w:rFonts w:ascii="Segoe UI" w:eastAsia="Times New Roman" w:hAnsi="Segoe UI" w:cs="Segoe UI"/>
          <w:color w:val="474747"/>
          <w:sz w:val="24"/>
          <w:szCs w:val="24"/>
        </w:rPr>
        <w:lastRenderedPageBreak/>
        <w:t>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Đối với tài sản cố định tự làm nguyên giá tài sản cố định được trích khấu hao tính vào chi phí được trừ là tổng các chi phí sản xuất để hình thành nên tài sản đó.</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đ) Khấu hao đối với tài sản cố định đã khấu hao hết giá trị.</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e) Một số trường hợp cụ thể được xác định như sau:]</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 Xe đối với ô tô chở người từ 9 chỗ ngồi trở xuống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r w:rsidRPr="00204DDB">
        <w:rPr>
          <w:rFonts w:ascii="Segoe UI" w:eastAsia="Times New Roman" w:hAnsi="Segoe UI" w:cs="Segoe UI"/>
          <w:b/>
          <w:bCs/>
          <w:color w:val="3366FF"/>
          <w:sz w:val="24"/>
          <w:szCs w:val="24"/>
        </w:rPr>
        <w:t>* Khấu hao đối với công trình trên đất</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Công trình trên đất được quản lý, theo dõi hạch toán theo quy định hiện hành về quản lý tài sản cố định.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lastRenderedPageBreak/>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Doanh nghiệp phải lưu giữ và cung cấp đầy đủ hồ sơ, lý do của việc tạm dừng tài sản cố định khi cơ quan thuế yêu cầu.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7. Chi tiền thuê tài sản của cá nhân không có đầy đủ hồ sơ, chứng từ dưới đây:</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doanh nghiệp thuê tài sản của cá nhân thì hồ sơ để xác định chi phí được trừ là hợp đồng thuê tài sản và chứng từ trả tiền thuê tài sản.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8. Phần chi phí thuê tài sản cố định vượt quá mức phân bổ theo số năm mà bên đi thuê trả tiền trước.</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9. Chi nguyên liệu, vật liệu, nhiên liệu, năng lượng, hàng hóa phần vượt mức tiêu hao hợp lý.</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10. Chi trả tiền điện, tiền nước đối với những hợp đồng điện nước mang tên chủ nhà cho thuê địa điểm sản xuất, kinh doanh.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11. Các khoản tiền phạt về vi phạm hành chính bị loại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12. Các loại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Thuế giá trị gia tăng đầu vào đã được khấu trừ hoặc hoàn thuế; thuế giá trị gia tăng đầu vào của tài sản cố định là ô tô từ 9 chỗ ngồi trở xuống vượt mức quy định được khấu trừ theo quy định tại các văn bản pháp luật về thuế giá trị gia tăng.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Chú ý: Số thuế GTGT đầu vào không được khấu trừ, cơ sở kinh doanh được hạch toán vào chi phí để tính thuế thu nhập doanh nghiệp hoặc tính vào nguyên giá của tài sản cố định,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Ngoại trừ 2 trường hợp không được tính vào chi phí được trừ:</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Mua hàng có giá trị từ 20 triệu đồng trở lên không có chứng từ thanh toán không dùng tiền mặt.</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Phần thuế GTGT không được khấu trừ của ô tô dưới 9 chỗ ngồi chờ người mà doanh nghiệp không chuyên kinh doanh vận tải, du lịch, khách sạn.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Theo khoản 9 của điều 14 TT 219/2013/TT-BTC</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Thuế thu nhập doanh nghiệp trừ trường hợp doanh nghiệp nộp thay thuế thu nhập doanh nghiệp của nhà thầu nước ngoài mà theo thỏa thuận tại hợp đồng nhà thầu, nhà thầu phụ nước ngoài, doanh thu nhà thầu, nhà thầu phụ nước ngoài nhận được không bao gồm thuế thu nhập doanh nghiệp;</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Thuế thu nhập cá nhân trừ trường hợp doanh nghiệp ký hợp đồng lao động quy định tiền lương, tiền công trả cho người lao động không bao gồm thuế thu nhập cá nhân.</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13. Phần chi vượt mức 01 triệu đồng/tháng/người để: Trích nộp quỹ hưu trí tự nguyện, mua bảo hiểm hưu trí tự nguyện cho người lao động.</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 xml:space="preserve">14.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w:t>
      </w:r>
      <w:r w:rsidRPr="00204DDB">
        <w:rPr>
          <w:rFonts w:ascii="Segoe UI" w:eastAsia="Times New Roman" w:hAnsi="Segoe UI" w:cs="Segoe UI"/>
          <w:color w:val="474747"/>
          <w:sz w:val="24"/>
          <w:szCs w:val="24"/>
        </w:rPr>
        <w:lastRenderedPageBreak/>
        <w:t>hàng hóa, công trình xây lắp và dự phòng rủi ro nghề nghiệp của doanh nghiệp thẩm định giá, doanh nghiệp cung cấp dịch vụ kiểm toán độc lập.</w:t>
      </w:r>
    </w:p>
    <w:p w:rsidR="009C4F2F" w:rsidRPr="00204DDB" w:rsidRDefault="009C4F2F" w:rsidP="009C4F2F">
      <w:pPr>
        <w:shd w:val="clear" w:color="auto" w:fill="FFFFFF"/>
        <w:spacing w:after="0" w:line="240" w:lineRule="auto"/>
        <w:rPr>
          <w:rFonts w:ascii="Segoe UI" w:eastAsia="Times New Roman" w:hAnsi="Segoe UI" w:cs="Segoe UI"/>
          <w:color w:val="474747"/>
          <w:sz w:val="24"/>
          <w:szCs w:val="24"/>
        </w:rPr>
      </w:pP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15.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16. Chi về đầu tư xây dựng cơ bản trong giai đoạn đầu tư để hình thành tài sản cố định.</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9C4F2F" w:rsidRPr="00204DDB" w:rsidRDefault="009C4F2F" w:rsidP="00D115DB">
      <w:pPr>
        <w:shd w:val="clear" w:color="auto" w:fill="FFFFFF"/>
        <w:spacing w:after="0" w:line="240" w:lineRule="auto"/>
        <w:jc w:val="both"/>
        <w:rPr>
          <w:rFonts w:ascii="Segoe UI" w:eastAsia="Times New Roman" w:hAnsi="Segoe UI" w:cs="Segoe UI"/>
          <w:color w:val="474747"/>
          <w:sz w:val="24"/>
          <w:szCs w:val="24"/>
        </w:rPr>
      </w:pPr>
      <w:r w:rsidRPr="00204DDB">
        <w:rPr>
          <w:rFonts w:ascii="Segoe UI" w:eastAsia="Times New Roman" w:hAnsi="Segoe UI" w:cs="Segoe UI"/>
          <w:color w:val="474747"/>
          <w:sz w:val="24"/>
          <w:szCs w:val="24"/>
        </w:rPr>
        <w:t>Trường hợp trong giai đoạn đầu tư, doanh nghiệp có phát sinh khoản chi trả tiền vay thì khoản chi này được tính vào giá trị đầu tư. Trường hợp trong giai đoạn đầu tư,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415AA9" w:rsidRPr="00204DDB" w:rsidRDefault="00415AA9" w:rsidP="00415AA9">
      <w:pPr>
        <w:jc w:val="both"/>
        <w:rPr>
          <w:rFonts w:ascii="Segoe UI" w:hAnsi="Segoe UI" w:cs="Segoe UI"/>
          <w:sz w:val="24"/>
          <w:szCs w:val="24"/>
        </w:rPr>
      </w:pP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Strong"/>
          <w:rFonts w:ascii="Segoe UI" w:hAnsi="Segoe UI" w:cs="Segoe UI"/>
          <w:color w:val="525252"/>
        </w:rPr>
        <w:t>+)Doanh thu để tính thu nhập chịu thuế</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 Điều 5 </w:t>
      </w:r>
      <w:hyperlink r:id="rId11" w:history="1">
        <w:r w:rsidRPr="00204DDB">
          <w:rPr>
            <w:rStyle w:val="Hyperlink"/>
            <w:rFonts w:ascii="Segoe UI" w:hAnsi="Segoe UI" w:cs="Segoe UI"/>
            <w:color w:val="337AB7"/>
          </w:rPr>
          <w:t>Thông tư 78/2014/TT-BTC</w:t>
        </w:r>
      </w:hyperlink>
      <w:r w:rsidRPr="00204DDB">
        <w:rPr>
          <w:rFonts w:ascii="Segoe UI" w:hAnsi="Segoe UI" w:cs="Segoe UI"/>
          <w:color w:val="525252"/>
        </w:rPr>
        <w:t>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“Doanh thu để tính thu nhập chịu thuế là toàn bộ tiền bán hàng hóa, tiền gia công, tiền cung cấp dịch vụ bao gồm cả khoản trợ giá, phụ thu, phụ trội mà doanh nghiệp được hưởng không phân biệt đã thu được tiền hay chưa thu được tiền.”</w:t>
      </w:r>
    </w:p>
    <w:p w:rsidR="009C4F2F" w:rsidRPr="00204DDB" w:rsidRDefault="009C4F2F" w:rsidP="009C4F2F">
      <w:pPr>
        <w:pStyle w:val="Heading2"/>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000000"/>
          <w:sz w:val="24"/>
          <w:szCs w:val="24"/>
        </w:rPr>
        <w:t>1. Thu nhập từ hoạt động sản xuất kinh doanh hàng hóa, dịch vụ</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2 Điều 4 </w:t>
      </w:r>
      <w:hyperlink r:id="rId12" w:tgtFrame="_blank" w:history="1">
        <w:r w:rsidRPr="00204DDB">
          <w:rPr>
            <w:rStyle w:val="Hyperlink"/>
            <w:rFonts w:ascii="Segoe UI" w:hAnsi="Segoe UI" w:cs="Segoe UI"/>
            <w:color w:val="337AB7"/>
          </w:rPr>
          <w:t>Thông tư 78/2014/TT-BTC</w:t>
        </w:r>
      </w:hyperlink>
      <w:r w:rsidRPr="00204DDB">
        <w:rPr>
          <w:rFonts w:ascii="Segoe UI" w:hAnsi="Segoe UI" w:cs="Segoe UI"/>
          <w:color w:val="525252"/>
        </w:rPr>
        <w:t>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9C4F2F" w:rsidRPr="00204DDB" w:rsidRDefault="009C4F2F" w:rsidP="009C4F2F">
      <w:pPr>
        <w:pStyle w:val="Heading2"/>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000000"/>
          <w:sz w:val="24"/>
          <w:szCs w:val="24"/>
        </w:rPr>
        <w:t>2. Thu nhập khác</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lastRenderedPageBreak/>
        <w:t>Theo Đoạn 1 Điều 7 Thông tư 78/2104/TT-BTC có quy định như sau:</w:t>
      </w:r>
      <w:r w:rsidRPr="00204DDB">
        <w:rPr>
          <w:rFonts w:ascii="Segoe UI" w:hAnsi="Segoe UI" w:cs="Segoe UI"/>
          <w:color w:val="525252"/>
        </w:rPr>
        <w:br/>
      </w:r>
      <w:r w:rsidRPr="00204DDB">
        <w:rPr>
          <w:rStyle w:val="Emphasis"/>
          <w:rFonts w:ascii="Segoe UI" w:hAnsi="Segoe UI" w:cs="Segoe UI"/>
          <w:color w:val="525252"/>
        </w:rPr>
        <w:t>” Thu nhập khác là các khoản thu nhập chịu thuế trong kỳ tính thuế mà khoản thu nhập này không thuộc các ngành nghề, lĩnh vực kinh doanh ghi trong đăng ký kinh doanh của doanh nghiệp.”</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w:t>
      </w:r>
      <w:hyperlink r:id="rId13" w:tgtFrame="_blank" w:history="1">
        <w:r w:rsidRPr="00204DDB">
          <w:rPr>
            <w:rStyle w:val="Hyperlink"/>
            <w:rFonts w:ascii="Segoe UI" w:hAnsi="Segoe UI" w:cs="Segoe UI"/>
            <w:b/>
            <w:bCs/>
            <w:color w:val="337AB7"/>
          </w:rPr>
          <w:t>Thông tư 96/2015/TT-BTC</w:t>
        </w:r>
      </w:hyperlink>
      <w:r w:rsidRPr="00204DDB">
        <w:rPr>
          <w:rFonts w:ascii="Segoe UI" w:hAnsi="Segoe UI" w:cs="Segoe UI"/>
          <w:color w:val="525252"/>
        </w:rPr>
        <w:t> sửa đổi bổ sung </w:t>
      </w:r>
      <w:hyperlink r:id="rId14" w:tgtFrame="_blank" w:history="1">
        <w:r w:rsidRPr="00204DDB">
          <w:rPr>
            <w:rStyle w:val="Hyperlink"/>
            <w:rFonts w:ascii="Segoe UI" w:hAnsi="Segoe UI" w:cs="Segoe UI"/>
            <w:b/>
            <w:bCs/>
            <w:color w:val="337AB7"/>
          </w:rPr>
          <w:t>Thông tư 78/2014/TT-BTC</w:t>
        </w:r>
      </w:hyperlink>
      <w:r w:rsidRPr="00204DDB">
        <w:rPr>
          <w:rFonts w:ascii="Segoe UI" w:hAnsi="Segoe UI" w:cs="Segoe UI"/>
          <w:color w:val="525252"/>
        </w:rPr>
        <w:t> đã bỏ quy định trên tại Đoạn 1 Điều 7 </w:t>
      </w:r>
      <w:r w:rsidRPr="00204DDB">
        <w:rPr>
          <w:rStyle w:val="Strong"/>
          <w:rFonts w:ascii="Segoe UI" w:hAnsi="Segoe UI" w:cs="Segoe UI"/>
          <w:color w:val="525252"/>
        </w:rPr>
        <w:t>Thông tư 78/2014/TT-BTC</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Thu nhập khác bao gồm các khoản thu nhập sau:</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2.1. Thu nhập từ chuyển nhượng vốn, chuyển nhượng chứng khoán</w:t>
      </w:r>
    </w:p>
    <w:p w:rsidR="009C4F2F" w:rsidRPr="00204DDB" w:rsidRDefault="009C4F2F" w:rsidP="009C4F2F">
      <w:pPr>
        <w:numPr>
          <w:ilvl w:val="0"/>
          <w:numId w:val="1"/>
        </w:numPr>
        <w:shd w:val="clear" w:color="auto" w:fill="FFFFFF"/>
        <w:spacing w:before="100" w:beforeAutospacing="1" w:after="100" w:afterAutospacing="1" w:line="240" w:lineRule="auto"/>
        <w:jc w:val="both"/>
        <w:rPr>
          <w:rFonts w:ascii="Segoe UI" w:hAnsi="Segoe UI" w:cs="Segoe UI"/>
          <w:color w:val="525252"/>
          <w:sz w:val="24"/>
          <w:szCs w:val="24"/>
        </w:rPr>
      </w:pPr>
      <w:r w:rsidRPr="00204DDB">
        <w:rPr>
          <w:rFonts w:ascii="Segoe UI" w:hAnsi="Segoe UI" w:cs="Segoe UI"/>
          <w:color w:val="525252"/>
          <w:sz w:val="24"/>
          <w:szCs w:val="24"/>
        </w:rPr>
        <w:t>Thu nhập từ chuyển nhượng vốn của doanh nghiệp là thu nhập có được từ chuyển nhượng một phần hoặc toàn bộ số vốn của doanh nghiệp đã đầu tư cho một hoặc nhiều tổ chức, cá nhân khác(bao gồm cả trường hợp bán doanh nghiệp)</w:t>
      </w:r>
    </w:p>
    <w:p w:rsidR="009C4F2F" w:rsidRPr="00204DDB" w:rsidRDefault="009C4F2F" w:rsidP="009C4F2F">
      <w:pPr>
        <w:numPr>
          <w:ilvl w:val="0"/>
          <w:numId w:val="1"/>
        </w:numPr>
        <w:shd w:val="clear" w:color="auto" w:fill="FFFFFF"/>
        <w:spacing w:before="100" w:beforeAutospacing="1" w:after="100" w:afterAutospacing="1" w:line="240" w:lineRule="auto"/>
        <w:jc w:val="both"/>
        <w:rPr>
          <w:rFonts w:ascii="Segoe UI" w:hAnsi="Segoe UI" w:cs="Segoe UI"/>
          <w:color w:val="525252"/>
          <w:sz w:val="24"/>
          <w:szCs w:val="24"/>
        </w:rPr>
      </w:pPr>
      <w:r w:rsidRPr="00204DDB">
        <w:rPr>
          <w:rFonts w:ascii="Segoe UI" w:hAnsi="Segoe UI" w:cs="Segoe UI"/>
          <w:color w:val="525252"/>
          <w:sz w:val="24"/>
          <w:szCs w:val="24"/>
        </w:rPr>
        <w:t>Thu nhập từ chuyển nhượng chứng khoán là thu nhập có được từ việc chuyển nhượng cổ phiếu, trái phiếu, chứng chỉ quỹ và các loại chứng khoán khác theo quy định.</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 xml:space="preserve">Để hiểu chi tiết hơn về căn cứ tính thu nhập tính thuế thu nhập doanh nghiệp đối với các khoản thu nhập từ chuyển nhượng vốn, chuyển nhượng chứng khoán mời bạn </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2.2. Thu nhập từ chuyển nhượng dự án đầu tư, chuyển nhượng quyền tham gia dự án đầu tư; chuyển nhượng quyền thăm dò, khai thác, chế biến khoáng sản theo quy định của pháp luật.</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3.3. Thu nhập từ quyền sở hữu, quyền sử dụng tài sản</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4 Điều 7 Thông tư 78/2104/TT-BTC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r w:rsidRPr="00204DDB">
        <w:rPr>
          <w:rFonts w:ascii="Segoe UI" w:hAnsi="Segoe UI" w:cs="Segoe UI"/>
          <w:i/>
          <w:iCs/>
          <w:color w:val="525252"/>
        </w:rPr>
        <w:br/>
      </w:r>
      <w:r w:rsidRPr="00204DDB">
        <w:rPr>
          <w:rStyle w:val="Emphasis"/>
          <w:rFonts w:ascii="Segoe UI" w:hAnsi="Segoe UI" w:cs="Segoe UI"/>
          <w:color w:val="525252"/>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2.4. Thu nhập từ cho thuê tài sản dưới mọi hình thức</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lastRenderedPageBreak/>
        <w:t>2.5. Thu nhập từ chuyển nhượng tài sản, thanh lý tài sản (trừ bất động sản), các loại giấy tờ có giá khác</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Strong"/>
          <w:rFonts w:ascii="Segoe UI" w:hAnsi="Segoe UI" w:cs="Segoe UI"/>
          <w:color w:val="525252"/>
        </w:rPr>
        <w:t>2.6. Thu nhập từ lãi tiền gửi, lãi cho vay vốn</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7 Điều 7 Thông tư 78/2104/TT-BTC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Thu nhập từ lãi tiền gửi, lãi cho vay vốn bao gồm cả tiền lãi trả chậm, lãi trả góp, phí bảo lãnh tín dụng và các khoản phí khác trong hợp đồng cho vay vốn.</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2.7. Thu nhập từ hoạt động bán ngoại tệ</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2.8. Thu nhập từ chênh lệch tỷ giá</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Trong năm tính thuế thu nhập doanh nghiệp có chênh lệch tỷ giá phát sinh trong kỳ và chênh lêch tỷ giá do đánh giá lại các khoản nợ phải trả có gốc ngoại tệ cuối năm tài chính.</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Việc ghi nhận chênh lệch tỷ giá này đã có sự thay đổi theo Thông tư 96/2015/TT-BTC sửa đổi bổ sung Thông tư 78/2014/TT-BTC</w:t>
      </w:r>
    </w:p>
    <w:p w:rsidR="009C4F2F" w:rsidRPr="00204DDB" w:rsidRDefault="009C4F2F"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2.9. Khoản nợ khó đòi đã xóa nay đòi được</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.10. Khoản nợ phải trả không xác định được chủ nợ</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.11. Thu nhập từ hoạt động sản xuất kinh doanh của những năm trước bị bỏ sót phát hiện ra</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.12. Các khoản tiền thu về tiền phạt, tiền bồi thường</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13 Điều 7 </w:t>
      </w:r>
      <w:r w:rsidRPr="00204DDB">
        <w:rPr>
          <w:rStyle w:val="Strong"/>
          <w:rFonts w:ascii="Segoe UI" w:hAnsi="Segoe UI" w:cs="Segoe UI"/>
          <w:color w:val="525252"/>
        </w:rPr>
        <w:t>Thông tư 78/2014/TT-BTC</w:t>
      </w:r>
      <w:r w:rsidRPr="00204DDB">
        <w:rPr>
          <w:rFonts w:ascii="Segoe UI" w:hAnsi="Segoe UI" w:cs="Segoe UI"/>
          <w:color w:val="525252"/>
        </w:rPr>
        <w:t>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xml:space="preserve">” 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w:t>
      </w:r>
      <w:r w:rsidRPr="00204DDB">
        <w:rPr>
          <w:rStyle w:val="Emphasis"/>
          <w:rFonts w:ascii="Segoe UI" w:hAnsi="Segoe UI" w:cs="Segoe UI"/>
          <w:color w:val="525252"/>
        </w:rPr>
        <w:lastRenderedPageBreak/>
        <w:t>không thuộc các khoản tiền phạt về vi phạm hành chính theo quy định của pháp luật về xử lý vi phạm hành chính), sau khi bù trừ, phần chênh lệch còn lại tính vào thu nhập khác.</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Các khoản thu về tiền phạt, tiền bồi thường nêu trên không bao gồm các khoản tiền phạt, tiền bồi thường được ghi giảm giá trị công trình trong giai đoạn đầu tư.”</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.13. Chênh lệch do đánh giá lại tài sản </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Fonts w:ascii="Segoe UI" w:hAnsi="Segoe UI" w:cs="Segoe UI"/>
          <w:color w:val="525252"/>
        </w:rPr>
        <w:t>Theo Khoản 14 Điều 7 </w:t>
      </w:r>
      <w:hyperlink r:id="rId15" w:history="1">
        <w:r w:rsidRPr="00204DDB">
          <w:rPr>
            <w:rStyle w:val="Hyperlink"/>
            <w:rFonts w:ascii="Segoe UI" w:hAnsi="Segoe UI" w:cs="Segoe UI"/>
            <w:color w:val="337AB7"/>
          </w:rPr>
          <w:t>Thông tư 78/2014/TT-BTC</w:t>
        </w:r>
      </w:hyperlink>
      <w:r w:rsidRPr="00204DDB">
        <w:rPr>
          <w:rFonts w:ascii="Segoe UI" w:hAnsi="Segoe UI" w:cs="Segoe UI"/>
          <w:color w:val="525252"/>
        </w:rPr>
        <w:t> có quy định như sau:</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 Chênh lệch do đánh giá lại tài sản theo quy định của pháp luật để góp vốn, để điều chuyển tài sản khi chia, tách, hợp nhất, sáp nhập, chuyển đổi loại hình doanh nghiệp, được xác định cụ thể …”</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Fonts w:ascii="Segoe UI" w:hAnsi="Segoe UI" w:cs="Segoe UI"/>
          <w:color w:val="525252"/>
        </w:rPr>
        <w:t>Muốn biết quy định cụ thể về những khoản thu nhập do đánh giá lại tài sản, mời các bạn xem bài viết : </w:t>
      </w:r>
      <w:r w:rsidRPr="00204DDB">
        <w:rPr>
          <w:rFonts w:ascii="Segoe UI" w:hAnsi="Segoe UI" w:cs="Segoe UI"/>
          <w:color w:val="FF0000"/>
        </w:rPr>
        <w:t>Thu nhập do chênh lệch đánh giá lại tài sản</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.14. Quà biếu, quà tặng bằng tiền, bằng hiện vật</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15 Điều 7 </w:t>
      </w:r>
      <w:hyperlink r:id="rId16" w:history="1">
        <w:r w:rsidRPr="00204DDB">
          <w:rPr>
            <w:rStyle w:val="Hyperlink"/>
            <w:rFonts w:ascii="Segoe UI" w:hAnsi="Segoe UI" w:cs="Segoe UI"/>
            <w:b/>
            <w:bCs/>
            <w:color w:val="337AB7"/>
          </w:rPr>
          <w:t>Thông tư 78/2014/TT-BTC</w:t>
        </w:r>
      </w:hyperlink>
      <w:r w:rsidRPr="00204DDB">
        <w:rPr>
          <w:rFonts w:ascii="Segoe UI" w:hAnsi="Segoe UI" w:cs="Segoe UI"/>
          <w:color w:val="525252"/>
        </w:rPr>
        <w:t> có quy định:</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.15. Các khoản tiền, tài sản, lợi ích vật chất khác</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16 Điều 7 </w:t>
      </w:r>
      <w:hyperlink r:id="rId17" w:history="1">
        <w:r w:rsidRPr="00204DDB">
          <w:rPr>
            <w:rStyle w:val="Hyperlink"/>
            <w:rFonts w:ascii="Segoe UI" w:hAnsi="Segoe UI" w:cs="Segoe UI"/>
            <w:color w:val="337AB7"/>
          </w:rPr>
          <w:t>Thông tư 78/2014/TT-BTC</w:t>
        </w:r>
      </w:hyperlink>
      <w:r w:rsidRPr="00204DDB">
        <w:rPr>
          <w:rFonts w:ascii="Segoe UI" w:hAnsi="Segoe UI" w:cs="Segoe UI"/>
          <w:color w:val="525252"/>
        </w:rPr>
        <w:t> có quy định về các khoản thu nhập từ tiền, tài sản, lợi ích vật chất khác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xml:space="preserve">“Các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w:t>
      </w:r>
      <w:r w:rsidRPr="00204DDB">
        <w:rPr>
          <w:rStyle w:val="Emphasis"/>
          <w:rFonts w:ascii="Segoe UI" w:hAnsi="Segoe UI" w:cs="Segoe UI"/>
          <w:color w:val="525252"/>
        </w:rPr>
        <w:lastRenderedPageBreak/>
        <w:t>như chi phí di dời (chi phí vận chuyển, lắp đặt), giá trị còn lại của tài sản cố định và các chi phí khác (nếu có).</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.16. Các khoản trích trước vào chi phí</w:t>
      </w:r>
      <w:r w:rsidR="009C4F2F" w:rsidRPr="00204DDB">
        <w:rPr>
          <w:rStyle w:val="Emphasis"/>
          <w:rFonts w:ascii="Segoe UI" w:hAnsi="Segoe UI" w:cs="Segoe UI"/>
          <w:color w:val="525252"/>
          <w:sz w:val="24"/>
          <w:szCs w:val="24"/>
        </w:rPr>
        <w:t> </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17 Điều 7 Thông tư 78/2104/TT-BTC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.17. Các khoản thu nhập liên quan đến việc tiêu thụ hàng hóa, cung cấp dịch vụ không tính trong doanh thu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18 Điều 7 Thông tư 78/2014/TT-BTC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Các khoản thu nhập liên quan đến việc tiêu thụ hàng hóa, cung cấp dịch vụ không tính trong doanh thu như: thưởng giải phóng tàu nhanh, tiền thưởng phục vụ trong ngành ăn uống, khách sạn sau khi đã trừ các khoản chi phí để tạo ra khoản thu nhập đó.”</w:t>
      </w:r>
    </w:p>
    <w:p w:rsidR="009C4F2F" w:rsidRPr="00204DDB" w:rsidRDefault="00E0604A" w:rsidP="009C4F2F">
      <w:pPr>
        <w:pStyle w:val="Heading2"/>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.18. Thu nhập về tiêu thụ phế liệu, phế phẩm</w:t>
      </w:r>
      <w:r w:rsidR="009C4F2F" w:rsidRPr="00204DDB">
        <w:rPr>
          <w:rStyle w:val="Emphasis"/>
          <w:rFonts w:ascii="Segoe UI" w:hAnsi="Segoe UI" w:cs="Segoe UI"/>
          <w:color w:val="525252"/>
          <w:sz w:val="24"/>
          <w:szCs w:val="24"/>
        </w:rPr>
        <w:t> </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19 Điều 7 Thông tư 78/2014/TT-BTC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Thu nhập về tiêu thụ phế liệu, phế phẩm sau khi đã trừ chi phí thu hồi và chi phí tiêu thụ, được xác định cụ thể như sau:</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9C4F2F" w:rsidRPr="00204DDB" w:rsidRDefault="009C4F2F" w:rsidP="009C4F2F">
      <w:pPr>
        <w:pStyle w:val="NormalWeb"/>
        <w:shd w:val="clear" w:color="auto" w:fill="FFFFFF"/>
        <w:spacing w:before="0" w:beforeAutospacing="0" w:after="150" w:afterAutospacing="0"/>
        <w:rPr>
          <w:rFonts w:ascii="Segoe UI" w:hAnsi="Segoe UI" w:cs="Segoe UI"/>
          <w:color w:val="525252"/>
        </w:rPr>
      </w:pPr>
      <w:r w:rsidRPr="00204DDB">
        <w:rPr>
          <w:rStyle w:val="Emphasis"/>
          <w:rFonts w:ascii="Segoe UI" w:hAnsi="Segoe UI" w:cs="Segoe UI"/>
          <w:color w:val="525252"/>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19.</w:t>
      </w:r>
      <w:r w:rsidR="009C4F2F" w:rsidRPr="00204DDB">
        <w:rPr>
          <w:rFonts w:ascii="Segoe UI" w:hAnsi="Segoe UI" w:cs="Segoe UI"/>
          <w:b w:val="0"/>
          <w:bCs w:val="0"/>
          <w:color w:val="525252"/>
          <w:sz w:val="24"/>
          <w:szCs w:val="24"/>
        </w:rPr>
        <w:t> </w:t>
      </w:r>
      <w:r w:rsidR="009C4F2F" w:rsidRPr="00204DDB">
        <w:rPr>
          <w:rStyle w:val="Strong"/>
          <w:rFonts w:ascii="Segoe UI" w:hAnsi="Segoe UI" w:cs="Segoe UI"/>
          <w:b/>
          <w:bCs/>
          <w:color w:val="525252"/>
          <w:sz w:val="24"/>
          <w:szCs w:val="24"/>
        </w:rPr>
        <w:t>Khoản tiền hoàn thuế xuất khẩu, thuế nhập khẩu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Theo Khoản 20 Điều 7 Thông tư 78/2014/TT-BTC có quy định như sau:</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Style w:val="Emphasis"/>
          <w:rFonts w:ascii="Segoe UI" w:hAnsi="Segoe UI" w:cs="Segoe UI"/>
          <w:color w:val="525252"/>
        </w:rPr>
        <w:t xml:space="preserve">” Khoản tiền hoàn thuế xuất khẩu, thuế nhập khẩu của hàng hóa đã thực xuất khẩu, thực nhập khẩu phát sinh ngay trong năm quyết toán thuế thu nhập doanh nghiệp thì được </w:t>
      </w:r>
      <w:r w:rsidRPr="00204DDB">
        <w:rPr>
          <w:rStyle w:val="Emphasis"/>
          <w:rFonts w:ascii="Segoe UI" w:hAnsi="Segoe UI" w:cs="Segoe UI"/>
          <w:color w:val="525252"/>
        </w:rPr>
        <w:lastRenderedPageBreak/>
        <w:t>tính giảm trừ chi phí trong năm quyết toán đó. Trường hợp khoản tiền hoàn thuế xuất, nhập khẩu của hàng hóa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.20. Các khoản thu nhập từ các hoạt động góp vốn cổ phần, liên doanh, liên kết kinh tế trong nước được chia từ thu nhập trước khi nộp thuế thu nhập doanh nghiệp</w:t>
      </w:r>
    </w:p>
    <w:p w:rsidR="009C4F2F" w:rsidRPr="00204DDB" w:rsidRDefault="00E0604A" w:rsidP="009C4F2F">
      <w:pPr>
        <w:pStyle w:val="Heading3"/>
        <w:shd w:val="clear" w:color="auto" w:fill="FFFFFF"/>
        <w:spacing w:before="300" w:beforeAutospacing="0" w:after="150" w:afterAutospacing="0"/>
        <w:jc w:val="both"/>
        <w:rPr>
          <w:rFonts w:ascii="Segoe UI" w:hAnsi="Segoe UI" w:cs="Segoe UI"/>
          <w:b w:val="0"/>
          <w:bCs w:val="0"/>
          <w:color w:val="525252"/>
          <w:sz w:val="24"/>
          <w:szCs w:val="24"/>
        </w:rPr>
      </w:pPr>
      <w:r w:rsidRPr="00204DDB">
        <w:rPr>
          <w:rStyle w:val="Strong"/>
          <w:rFonts w:ascii="Segoe UI" w:hAnsi="Segoe UI" w:cs="Segoe UI"/>
          <w:b/>
          <w:bCs/>
          <w:color w:val="525252"/>
          <w:sz w:val="24"/>
          <w:szCs w:val="24"/>
        </w:rPr>
        <w:t>2</w:t>
      </w:r>
      <w:r w:rsidR="009C4F2F" w:rsidRPr="00204DDB">
        <w:rPr>
          <w:rStyle w:val="Strong"/>
          <w:rFonts w:ascii="Segoe UI" w:hAnsi="Segoe UI" w:cs="Segoe UI"/>
          <w:b/>
          <w:bCs/>
          <w:color w:val="525252"/>
          <w:sz w:val="24"/>
          <w:szCs w:val="24"/>
        </w:rPr>
        <w:t>.21. Thu nhập nhận được từ hoạt động sản xuất, kinh doanh hàng hóa, dịch vụ ở nước ngoài</w:t>
      </w:r>
      <w:r w:rsidR="009C4F2F" w:rsidRPr="00204DDB">
        <w:rPr>
          <w:rStyle w:val="Emphasis"/>
          <w:rFonts w:ascii="Segoe UI" w:hAnsi="Segoe UI" w:cs="Segoe UI"/>
          <w:color w:val="525252"/>
          <w:sz w:val="24"/>
          <w:szCs w:val="24"/>
        </w:rPr>
        <w:t> </w:t>
      </w:r>
    </w:p>
    <w:p w:rsidR="009C4F2F" w:rsidRPr="00204DDB" w:rsidRDefault="009C4F2F" w:rsidP="009C4F2F">
      <w:pPr>
        <w:pStyle w:val="NormalWeb"/>
        <w:shd w:val="clear" w:color="auto" w:fill="FFFFFF"/>
        <w:spacing w:before="0" w:beforeAutospacing="0" w:after="150" w:afterAutospacing="0"/>
        <w:jc w:val="both"/>
        <w:rPr>
          <w:rFonts w:ascii="Segoe UI" w:hAnsi="Segoe UI" w:cs="Segoe UI"/>
          <w:color w:val="525252"/>
        </w:rPr>
      </w:pPr>
      <w:r w:rsidRPr="00204DDB">
        <w:rPr>
          <w:rFonts w:ascii="Segoe UI" w:hAnsi="Segoe UI" w:cs="Segoe UI"/>
          <w:color w:val="525252"/>
        </w:rPr>
        <w:t>Thông tư 96/2015/TT-BTC sửa đổi bổ sung Thông tư 78/2014/TT-BTC có hiệu lực từ ngày 06/08/2015 và áp dụng cho kỳ tính thuế năm 2015 đã có thay đổi như thế nào đối với thu nhập nhận được từ hoạt động sản xuất, kinh doanh hàng hóa, dịch vụ ở nước ngoài. Mời bạn tham khảo tại đây: </w:t>
      </w:r>
      <w:hyperlink r:id="rId18" w:history="1">
        <w:r w:rsidRPr="00204DDB">
          <w:rPr>
            <w:rStyle w:val="Hyperlink"/>
            <w:rFonts w:ascii="Segoe UI" w:hAnsi="Segoe UI" w:cs="Segoe UI"/>
            <w:color w:val="337AB7"/>
          </w:rPr>
          <w:t>Qui định từ năm 2015: Thu nhập từ hoạt động đầu tư ở nước ngoài</w:t>
        </w:r>
      </w:hyperlink>
    </w:p>
    <w:p w:rsidR="009C4F2F" w:rsidRPr="00204DDB" w:rsidRDefault="00E0604A" w:rsidP="009C4F2F">
      <w:pPr>
        <w:pStyle w:val="Heading3"/>
        <w:shd w:val="clear" w:color="auto" w:fill="FFFFFF"/>
        <w:spacing w:before="300" w:beforeAutospacing="0" w:after="150" w:afterAutospacing="0"/>
        <w:jc w:val="both"/>
        <w:rPr>
          <w:rFonts w:ascii="Segoe UI" w:hAnsi="Segoe UI" w:cs="Segoe UI"/>
          <w:bCs w:val="0"/>
          <w:color w:val="525252"/>
          <w:sz w:val="24"/>
          <w:szCs w:val="24"/>
        </w:rPr>
      </w:pPr>
      <w:r w:rsidRPr="00204DDB">
        <w:rPr>
          <w:rFonts w:ascii="Segoe UI" w:hAnsi="Segoe UI" w:cs="Segoe UI"/>
          <w:bCs w:val="0"/>
          <w:color w:val="525252"/>
          <w:sz w:val="24"/>
          <w:szCs w:val="24"/>
        </w:rPr>
        <w:t>2</w:t>
      </w:r>
      <w:r w:rsidR="009C4F2F" w:rsidRPr="00204DDB">
        <w:rPr>
          <w:rFonts w:ascii="Segoe UI" w:hAnsi="Segoe UI" w:cs="Segoe UI"/>
          <w:bCs w:val="0"/>
          <w:color w:val="525252"/>
          <w:sz w:val="24"/>
          <w:szCs w:val="24"/>
        </w:rPr>
        <w:t>.33. Các khoản thu nhập khác theo quy định của pháp luật</w:t>
      </w:r>
    </w:p>
    <w:p w:rsidR="009C4F2F" w:rsidRPr="00204DDB" w:rsidRDefault="003D55A3" w:rsidP="00415AA9">
      <w:pPr>
        <w:jc w:val="both"/>
        <w:rPr>
          <w:rFonts w:ascii="Segoe UI" w:hAnsi="Segoe UI" w:cs="Segoe UI"/>
          <w:b/>
          <w:sz w:val="24"/>
          <w:szCs w:val="24"/>
        </w:rPr>
      </w:pPr>
      <w:r w:rsidRPr="00204DDB">
        <w:rPr>
          <w:rFonts w:ascii="Segoe UI" w:hAnsi="Segoe UI" w:cs="Segoe UI"/>
          <w:b/>
          <w:sz w:val="24"/>
          <w:szCs w:val="24"/>
        </w:rPr>
        <w:t>VỀ THỜI ĐIỂM XUẤT HÓA ĐƠN VÀ GHI NHẬN DOANH THU:</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b/>
          <w:color w:val="333333"/>
          <w:sz w:val="24"/>
          <w:szCs w:val="24"/>
        </w:rPr>
      </w:pPr>
      <w:r w:rsidRPr="00204DDB">
        <w:rPr>
          <w:rFonts w:ascii="Segoe UI" w:eastAsia="Times New Roman" w:hAnsi="Segoe UI" w:cs="Segoe UI"/>
          <w:b/>
          <w:color w:val="333333"/>
          <w:sz w:val="24"/>
          <w:szCs w:val="24"/>
        </w:rPr>
        <w:t xml:space="preserve">Quy định chung: </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Căn cứ Chuẩn mực kế toán Việt Nam số 14 (Doanh thu và Thu nhập khác), doanh thu bán hàng được ghi nhận khi đồng thời thỏa mãn năm điều kiện sau:</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(a) Doanh nghiệp đã chuyển giao phần lớn rủi ro và lợi ích gắn liền với quyền sở hữu sản phẩm hoặc hàng hóa cho người mua;</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(b) Doanh nghiệp không còn nắm giữ quyền quản lý hàng hóa như người sở hữu hàng hóa hoặc quyền kiểm soát hàng hóa;</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(c) Doanh thu được xác định tương đối chắc chắn;</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(d) Doanh nghiệp đã thu được hoặc sẽ thu được lợi ích kinh tế từ giao dịch bán hàng;</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(e) Xác định được chi phí liên quan đến giao dịch bán hàng.</w:t>
      </w:r>
    </w:p>
    <w:p w:rsidR="003D55A3" w:rsidRPr="00204DDB" w:rsidRDefault="003D55A3" w:rsidP="003D55A3">
      <w:pPr>
        <w:shd w:val="clear" w:color="auto" w:fill="FFFFFF"/>
        <w:spacing w:after="0" w:line="240" w:lineRule="auto"/>
        <w:jc w:val="both"/>
        <w:textAlignment w:val="baseline"/>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Như vậy, về nguyên tắc thì Doanh thu được ghi nhận khi Doanh nghiệp đã </w:t>
      </w:r>
      <w:r w:rsidRPr="00204DDB">
        <w:rPr>
          <w:rFonts w:ascii="Segoe UI" w:eastAsia="Times New Roman" w:hAnsi="Segoe UI" w:cs="Segoe UI"/>
          <w:b/>
          <w:bCs/>
          <w:color w:val="333333"/>
          <w:sz w:val="24"/>
          <w:szCs w:val="24"/>
          <w:bdr w:val="none" w:sz="0" w:space="0" w:color="auto" w:frame="1"/>
        </w:rPr>
        <w:t>chuyển giao quyền sở hữu, quyền sử dụng hàng hóa cho người mua</w:t>
      </w:r>
      <w:r w:rsidRPr="00204DDB">
        <w:rPr>
          <w:rFonts w:ascii="Segoe UI" w:eastAsia="Times New Roman" w:hAnsi="Segoe UI" w:cs="Segoe UI"/>
          <w:color w:val="333333"/>
          <w:sz w:val="24"/>
          <w:szCs w:val="24"/>
        </w:rPr>
        <w:t>.</w:t>
      </w:r>
    </w:p>
    <w:p w:rsidR="003D55A3" w:rsidRPr="00204DDB" w:rsidRDefault="003D55A3" w:rsidP="003D55A3">
      <w:pPr>
        <w:shd w:val="clear" w:color="auto" w:fill="FFFFFF"/>
        <w:spacing w:line="240" w:lineRule="auto"/>
        <w:outlineLvl w:val="0"/>
        <w:rPr>
          <w:rFonts w:ascii="Segoe UI" w:eastAsia="Times New Roman" w:hAnsi="Segoe UI" w:cs="Segoe UI"/>
          <w:color w:val="FF6600"/>
          <w:kern w:val="36"/>
          <w:sz w:val="24"/>
          <w:szCs w:val="24"/>
          <w:bdr w:val="none" w:sz="0" w:space="0" w:color="auto" w:frame="1"/>
        </w:rPr>
      </w:pPr>
      <w:r w:rsidRPr="00204DDB">
        <w:rPr>
          <w:rFonts w:ascii="Segoe UI" w:eastAsia="Times New Roman" w:hAnsi="Segoe UI" w:cs="Segoe UI"/>
          <w:color w:val="FF6600"/>
          <w:kern w:val="36"/>
          <w:sz w:val="24"/>
          <w:szCs w:val="24"/>
          <w:bdr w:val="none" w:sz="0" w:space="0" w:color="auto" w:frame="1"/>
        </w:rPr>
        <w:t>Thời điểm xác định doanh thu đối với hoạt động cung ứng dịch vụ</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lastRenderedPageBreak/>
        <w:t>Thời điểm xác định doanh thu đối với hoạt động cung ứng dịch vụ theo </w:t>
      </w:r>
      <w:hyperlink r:id="rId19" w:tgtFrame="_blank" w:history="1">
        <w:r w:rsidRPr="00204DDB">
          <w:rPr>
            <w:rFonts w:ascii="Segoe UI" w:eastAsia="Times New Roman" w:hAnsi="Segoe UI" w:cs="Segoe UI"/>
            <w:color w:val="444444"/>
            <w:sz w:val="24"/>
            <w:szCs w:val="24"/>
            <w:bdr w:val="none" w:sz="0" w:space="0" w:color="auto" w:frame="1"/>
          </w:rPr>
          <w:t>Thông tư 96/2015/TT-BTC</w:t>
        </w:r>
      </w:hyperlink>
      <w:r w:rsidRPr="00204DDB">
        <w:rPr>
          <w:rFonts w:ascii="Segoe UI" w:eastAsia="Times New Roman" w:hAnsi="Segoe UI" w:cs="Segoe UI"/>
          <w:color w:val="333333"/>
          <w:sz w:val="24"/>
          <w:szCs w:val="24"/>
        </w:rPr>
        <w:t>. Đối với mỗi hoạt động sản xuất kinh doanh, doanh nghiệp đều phải xác định được thời điểm xác định doanh thu là khi nào để xác định doanh thu đúng theo quy định của pháp luật. Thời điểm xác định doanh thu đối với hoạt động cung ứng dịch vụ được xác định như thế nào theo quy định mới tại</w:t>
      </w:r>
      <w:hyperlink r:id="rId20" w:tgtFrame="_blank" w:history="1">
        <w:r w:rsidRPr="00204DDB">
          <w:rPr>
            <w:rFonts w:ascii="Segoe UI" w:eastAsia="Times New Roman" w:hAnsi="Segoe UI" w:cs="Segoe UI"/>
            <w:color w:val="444444"/>
            <w:sz w:val="24"/>
            <w:szCs w:val="24"/>
            <w:bdr w:val="none" w:sz="0" w:space="0" w:color="auto" w:frame="1"/>
          </w:rPr>
          <w:t> Thông tư 96/2015/TT-BTC</w:t>
        </w:r>
      </w:hyperlink>
      <w:r w:rsidRPr="00204DDB">
        <w:rPr>
          <w:rFonts w:ascii="Segoe UI" w:eastAsia="Times New Roman" w:hAnsi="Segoe UI" w:cs="Segoe UI"/>
          <w:color w:val="333333"/>
          <w:sz w:val="24"/>
          <w:szCs w:val="24"/>
        </w:rPr>
        <w:t>.</w:t>
      </w:r>
    </w:p>
    <w:p w:rsidR="003D55A3" w:rsidRPr="00204DDB" w:rsidRDefault="003D55A3" w:rsidP="003D55A3">
      <w:pPr>
        <w:shd w:val="clear" w:color="auto" w:fill="FFFFFF"/>
        <w:spacing w:line="330" w:lineRule="atLeast"/>
        <w:jc w:val="both"/>
        <w:rPr>
          <w:rFonts w:ascii="Segoe UI" w:eastAsia="Times New Roman" w:hAnsi="Segoe UI" w:cs="Segoe UI"/>
          <w:b/>
          <w:color w:val="333333"/>
          <w:sz w:val="24"/>
          <w:szCs w:val="24"/>
        </w:rPr>
      </w:pPr>
      <w:r w:rsidRPr="00204DDB">
        <w:rPr>
          <w:rFonts w:ascii="Segoe UI" w:eastAsia="Times New Roman" w:hAnsi="Segoe UI" w:cs="Segoe UI"/>
          <w:b/>
          <w:color w:val="333333"/>
          <w:sz w:val="24"/>
          <w:szCs w:val="24"/>
          <w:highlight w:val="yellow"/>
        </w:rPr>
        <w:t>1. Liên quan đến việc lập hóa đơn:</w:t>
      </w:r>
    </w:p>
    <w:p w:rsidR="003D55A3" w:rsidRPr="00204DDB" w:rsidRDefault="00377656" w:rsidP="003D55A3">
      <w:pPr>
        <w:shd w:val="clear" w:color="auto" w:fill="FFFFFF"/>
        <w:spacing w:line="330" w:lineRule="atLeast"/>
        <w:jc w:val="both"/>
        <w:rPr>
          <w:rFonts w:ascii="Segoe UI" w:eastAsia="Times New Roman" w:hAnsi="Segoe UI" w:cs="Segoe UI"/>
          <w:color w:val="333333"/>
          <w:sz w:val="24"/>
          <w:szCs w:val="24"/>
        </w:rPr>
      </w:pPr>
      <w:hyperlink r:id="rId21" w:tgtFrame="_blank" w:history="1">
        <w:r w:rsidR="003D55A3" w:rsidRPr="00204DDB">
          <w:rPr>
            <w:rFonts w:ascii="Segoe UI" w:eastAsia="Times New Roman" w:hAnsi="Segoe UI" w:cs="Segoe UI"/>
            <w:color w:val="444444"/>
            <w:sz w:val="24"/>
            <w:szCs w:val="24"/>
            <w:bdr w:val="none" w:sz="0" w:space="0" w:color="auto" w:frame="1"/>
          </w:rPr>
          <w:t>Thông tư 39/2014/TT-BTC</w:t>
        </w:r>
      </w:hyperlink>
      <w:r w:rsidR="003D55A3" w:rsidRPr="00204DDB">
        <w:rPr>
          <w:rFonts w:ascii="Segoe UI" w:eastAsia="Times New Roman" w:hAnsi="Segoe UI" w:cs="Segoe UI"/>
          <w:color w:val="333333"/>
          <w:sz w:val="24"/>
          <w:szCs w:val="24"/>
        </w:rPr>
        <w:t> tại Điều 16, Khoản 2, Điểm a quy định về thời ngày lập hóa đơn đối với một số trường hợp như sau:</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i/>
          <w:iCs/>
          <w:color w:val="333333"/>
          <w:sz w:val="24"/>
          <w:szCs w:val="24"/>
          <w:bdr w:val="none" w:sz="0" w:space="0" w:color="auto" w:frame="1"/>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b/>
          <w:bCs/>
          <w:color w:val="333333"/>
          <w:sz w:val="24"/>
          <w:szCs w:val="24"/>
          <w:u w:val="single"/>
          <w:bdr w:val="none" w:sz="0" w:space="0" w:color="auto" w:frame="1"/>
        </w:rPr>
        <w:t>Như vậy:</w:t>
      </w:r>
      <w:r w:rsidRPr="00204DDB">
        <w:rPr>
          <w:rFonts w:ascii="Segoe UI" w:eastAsia="Times New Roman" w:hAnsi="Segoe UI" w:cs="Segoe UI"/>
          <w:b/>
          <w:bCs/>
          <w:color w:val="333333"/>
          <w:sz w:val="24"/>
          <w:szCs w:val="24"/>
          <w:bdr w:val="none" w:sz="0" w:space="0" w:color="auto" w:frame="1"/>
        </w:rPr>
        <w:t> N</w:t>
      </w:r>
      <w:r w:rsidRPr="00204DDB">
        <w:rPr>
          <w:rFonts w:ascii="Segoe UI" w:eastAsia="Times New Roman" w:hAnsi="Segoe UI" w:cs="Segoe UI"/>
          <w:color w:val="333333"/>
          <w:sz w:val="24"/>
          <w:szCs w:val="24"/>
        </w:rPr>
        <w:t>gày lập hóa đơn đối với hoạt động cung ứng dịch vụ là ngày hoàn thành việc cung ứng dịch vụ hoặc là ngày thu tiền ứng trước hoạt động dịch vụ.</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p>
    <w:p w:rsidR="003D55A3" w:rsidRPr="00204DDB" w:rsidRDefault="003D55A3" w:rsidP="003D55A3">
      <w:pPr>
        <w:shd w:val="clear" w:color="auto" w:fill="FFFFFF"/>
        <w:spacing w:line="330" w:lineRule="atLeast"/>
        <w:jc w:val="both"/>
        <w:rPr>
          <w:rFonts w:ascii="Segoe UI" w:eastAsia="Times New Roman" w:hAnsi="Segoe UI" w:cs="Segoe UI"/>
          <w:b/>
          <w:color w:val="333333"/>
          <w:sz w:val="24"/>
          <w:szCs w:val="24"/>
        </w:rPr>
      </w:pPr>
      <w:r w:rsidRPr="00204DDB">
        <w:rPr>
          <w:rFonts w:ascii="Segoe UI" w:eastAsia="Times New Roman" w:hAnsi="Segoe UI" w:cs="Segoe UI"/>
          <w:b/>
          <w:color w:val="333333"/>
          <w:sz w:val="24"/>
          <w:szCs w:val="24"/>
          <w:highlight w:val="yellow"/>
        </w:rPr>
        <w:t>2. Liên quan đến thuế GTGT:</w:t>
      </w:r>
    </w:p>
    <w:p w:rsidR="003D55A3" w:rsidRPr="00204DDB" w:rsidRDefault="00377656" w:rsidP="003D55A3">
      <w:pPr>
        <w:shd w:val="clear" w:color="auto" w:fill="FFFFFF"/>
        <w:spacing w:line="330" w:lineRule="atLeast"/>
        <w:jc w:val="both"/>
        <w:rPr>
          <w:rFonts w:ascii="Segoe UI" w:eastAsia="Times New Roman" w:hAnsi="Segoe UI" w:cs="Segoe UI"/>
          <w:color w:val="333333"/>
          <w:sz w:val="24"/>
          <w:szCs w:val="24"/>
        </w:rPr>
      </w:pPr>
      <w:hyperlink r:id="rId22" w:tgtFrame="_blank" w:history="1">
        <w:r w:rsidR="003D55A3" w:rsidRPr="00204DDB">
          <w:rPr>
            <w:rFonts w:ascii="Segoe UI" w:eastAsia="Times New Roman" w:hAnsi="Segoe UI" w:cs="Segoe UI"/>
            <w:color w:val="444444"/>
            <w:sz w:val="24"/>
            <w:szCs w:val="24"/>
            <w:bdr w:val="none" w:sz="0" w:space="0" w:color="auto" w:frame="1"/>
          </w:rPr>
          <w:t>Thông tư 219/2013/TT-BTC</w:t>
        </w:r>
      </w:hyperlink>
      <w:r w:rsidR="003D55A3" w:rsidRPr="00204DDB">
        <w:rPr>
          <w:rFonts w:ascii="Segoe UI" w:eastAsia="Times New Roman" w:hAnsi="Segoe UI" w:cs="Segoe UI"/>
          <w:color w:val="333333"/>
          <w:sz w:val="24"/>
          <w:szCs w:val="24"/>
        </w:rPr>
        <w:t> tại Điều 8, Khoản 1 quy định về thời điểm xác định thuế GTGT</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i/>
          <w:iCs/>
          <w:color w:val="333333"/>
          <w:sz w:val="24"/>
          <w:szCs w:val="24"/>
          <w:bdr w:val="none" w:sz="0" w:space="0" w:color="auto" w:frame="1"/>
        </w:rPr>
        <w:t>“2. Đối với cung ứng dịch vụ là thời điểm hoàn thành việc cung ứng dịch vụ hoặc thời điểm lập hoá đơn cung ứng dịch vụ, không phân biệt đã thu được tiền hay chưa thu được tiền.”</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b/>
          <w:bCs/>
          <w:color w:val="333333"/>
          <w:sz w:val="24"/>
          <w:szCs w:val="24"/>
          <w:bdr w:val="none" w:sz="0" w:space="0" w:color="auto" w:frame="1"/>
        </w:rPr>
        <w:t>Như vậy</w:t>
      </w:r>
      <w:r w:rsidRPr="00204DDB">
        <w:rPr>
          <w:rFonts w:ascii="Segoe UI" w:eastAsia="Times New Roman" w:hAnsi="Segoe UI" w:cs="Segoe UI"/>
          <w:color w:val="333333"/>
          <w:sz w:val="24"/>
          <w:szCs w:val="24"/>
        </w:rPr>
        <w:t>, thời điểm xác định thuế GTGT đối với hoạt động dịch vụ là:</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i/>
          <w:iCs/>
          <w:color w:val="333333"/>
          <w:sz w:val="24"/>
          <w:szCs w:val="24"/>
          <w:bdr w:val="none" w:sz="0" w:space="0" w:color="auto" w:frame="1"/>
        </w:rPr>
        <w:t>+ Thời điểm hoàn thành việc cung ứng dịch vụ hoặc</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i/>
          <w:iCs/>
          <w:color w:val="333333"/>
          <w:sz w:val="24"/>
          <w:szCs w:val="24"/>
          <w:bdr w:val="none" w:sz="0" w:space="0" w:color="auto" w:frame="1"/>
        </w:rPr>
        <w:t>+ Thời điểm lập hoá đơn cung ứng dịch vụ.</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i/>
          <w:iCs/>
          <w:color w:val="333333"/>
          <w:sz w:val="24"/>
          <w:szCs w:val="24"/>
          <w:bdr w:val="none" w:sz="0" w:space="0" w:color="auto" w:frame="1"/>
        </w:rPr>
        <w:t>Do đó thời điểm xác định thuế GTGT chính là thời điểm</w:t>
      </w:r>
      <w:r w:rsidRPr="00204DDB">
        <w:rPr>
          <w:rFonts w:ascii="Segoe UI" w:eastAsia="Times New Roman" w:hAnsi="Segoe UI" w:cs="Segoe UI"/>
          <w:color w:val="333333"/>
          <w:sz w:val="24"/>
          <w:szCs w:val="24"/>
        </w:rPr>
        <w:t> lập hóa đơn cung ứng dịch vụ.</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p>
    <w:p w:rsidR="003D55A3" w:rsidRPr="00204DDB" w:rsidRDefault="003D55A3" w:rsidP="003D55A3">
      <w:pPr>
        <w:shd w:val="clear" w:color="auto" w:fill="FFFFFF"/>
        <w:spacing w:line="330" w:lineRule="atLeast"/>
        <w:jc w:val="both"/>
        <w:rPr>
          <w:rFonts w:ascii="Segoe UI" w:eastAsia="Times New Roman" w:hAnsi="Segoe UI" w:cs="Segoe UI"/>
          <w:b/>
          <w:color w:val="333333"/>
          <w:sz w:val="24"/>
          <w:szCs w:val="24"/>
        </w:rPr>
      </w:pPr>
      <w:r w:rsidRPr="00204DDB">
        <w:rPr>
          <w:rFonts w:ascii="Segoe UI" w:eastAsia="Times New Roman" w:hAnsi="Segoe UI" w:cs="Segoe UI"/>
          <w:b/>
          <w:color w:val="333333"/>
          <w:sz w:val="24"/>
          <w:szCs w:val="24"/>
          <w:highlight w:val="yellow"/>
        </w:rPr>
        <w:t>3. Liên quan đến thời điểm xác định doanh thu để tính thuế Thu nhập doanh nghiệp:</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lastRenderedPageBreak/>
        <w:t>Quy định tại </w:t>
      </w:r>
      <w:hyperlink r:id="rId23" w:tgtFrame="_blank" w:history="1">
        <w:r w:rsidRPr="00204DDB">
          <w:rPr>
            <w:rFonts w:ascii="Segoe UI" w:eastAsia="Times New Roman" w:hAnsi="Segoe UI" w:cs="Segoe UI"/>
            <w:color w:val="444444"/>
            <w:sz w:val="24"/>
            <w:szCs w:val="24"/>
            <w:bdr w:val="none" w:sz="0" w:space="0" w:color="auto" w:frame="1"/>
          </w:rPr>
          <w:t>Thông tư 96/2015/TT-BTC</w:t>
        </w:r>
      </w:hyperlink>
      <w:r w:rsidRPr="00204DDB">
        <w:rPr>
          <w:rFonts w:ascii="Segoe UI" w:eastAsia="Times New Roman" w:hAnsi="Segoe UI" w:cs="Segoe UI"/>
          <w:color w:val="333333"/>
          <w:sz w:val="24"/>
          <w:szCs w:val="24"/>
        </w:rPr>
        <w:t> đã quy định về việc xác định doanh thu để tính thu nhập chịu thuế như sau:</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i/>
          <w:iCs/>
          <w:color w:val="333333"/>
          <w:sz w:val="24"/>
          <w:szCs w:val="24"/>
          <w:bdr w:val="none" w:sz="0" w:space="0" w:color="auto" w:frame="1"/>
        </w:rPr>
        <w:t>+ Thời điểm hoàn thành việc cung ứng dịch vụ.</w:t>
      </w:r>
    </w:p>
    <w:p w:rsidR="003D55A3" w:rsidRPr="00204DDB" w:rsidRDefault="003D55A3" w:rsidP="003D55A3">
      <w:pPr>
        <w:shd w:val="clear" w:color="auto" w:fill="FFFFFF"/>
        <w:spacing w:line="330" w:lineRule="atLeast"/>
        <w:jc w:val="both"/>
        <w:rPr>
          <w:rFonts w:ascii="Segoe UI" w:eastAsia="Times New Roman" w:hAnsi="Segoe UI" w:cs="Segoe UI"/>
          <w:i/>
          <w:iCs/>
          <w:color w:val="333333"/>
          <w:sz w:val="24"/>
          <w:szCs w:val="24"/>
          <w:bdr w:val="none" w:sz="0" w:space="0" w:color="auto" w:frame="1"/>
        </w:rPr>
      </w:pPr>
      <w:r w:rsidRPr="00204DDB">
        <w:rPr>
          <w:rFonts w:ascii="Segoe UI" w:eastAsia="Times New Roman" w:hAnsi="Segoe UI" w:cs="Segoe UI"/>
          <w:i/>
          <w:iCs/>
          <w:color w:val="333333"/>
          <w:sz w:val="24"/>
          <w:szCs w:val="24"/>
          <w:bdr w:val="none" w:sz="0" w:space="0" w:color="auto" w:frame="1"/>
        </w:rPr>
        <w:t>+ Thời điểm hoàn thành từng phần việc cung ứng dịch vụ cho người mua.</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b/>
          <w:bCs/>
          <w:color w:val="333333"/>
          <w:sz w:val="24"/>
          <w:szCs w:val="24"/>
          <w:u w:val="single"/>
          <w:bdr w:val="none" w:sz="0" w:space="0" w:color="auto" w:frame="1"/>
        </w:rPr>
        <w:t>Kết luận: </w:t>
      </w:r>
      <w:r w:rsidRPr="00204DDB">
        <w:rPr>
          <w:rFonts w:ascii="Segoe UI" w:eastAsia="Times New Roman" w:hAnsi="Segoe UI" w:cs="Segoe UI"/>
          <w:color w:val="333333"/>
          <w:sz w:val="24"/>
          <w:szCs w:val="24"/>
        </w:rPr>
        <w:t>Thời điểm xác định doanh thu đối với hoạt động cung ứng dịch vụ là thời điểm:</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 Thời điểm hoàn thành việc cung ứng dịch vụ.</w:t>
      </w:r>
    </w:p>
    <w:p w:rsidR="003D55A3" w:rsidRPr="00204DDB" w:rsidRDefault="003D55A3" w:rsidP="003D55A3">
      <w:pPr>
        <w:shd w:val="clear" w:color="auto" w:fill="FFFFFF"/>
        <w:spacing w:line="330" w:lineRule="atLeast"/>
        <w:jc w:val="both"/>
        <w:rPr>
          <w:rFonts w:ascii="Segoe UI" w:eastAsia="Times New Roman" w:hAnsi="Segoe UI" w:cs="Segoe UI"/>
          <w:color w:val="333333"/>
          <w:sz w:val="24"/>
          <w:szCs w:val="24"/>
        </w:rPr>
      </w:pPr>
      <w:r w:rsidRPr="00204DDB">
        <w:rPr>
          <w:rFonts w:ascii="Segoe UI" w:eastAsia="Times New Roman" w:hAnsi="Segoe UI" w:cs="Segoe UI"/>
          <w:color w:val="333333"/>
          <w:sz w:val="24"/>
          <w:szCs w:val="24"/>
        </w:rPr>
        <w:t>– Thời điểm hoàn thành từng phần việc cung ứng dịch vụ cho người mua</w:t>
      </w:r>
    </w:p>
    <w:p w:rsidR="00415AA9" w:rsidRPr="00204DDB" w:rsidRDefault="00415AA9" w:rsidP="00415AA9">
      <w:pPr>
        <w:jc w:val="both"/>
        <w:rPr>
          <w:rFonts w:ascii="Segoe UI" w:hAnsi="Segoe UI" w:cs="Segoe UI"/>
          <w:sz w:val="24"/>
          <w:szCs w:val="24"/>
        </w:rPr>
      </w:pPr>
    </w:p>
    <w:p w:rsidR="00415AA9" w:rsidRPr="00204DDB" w:rsidRDefault="00415AA9" w:rsidP="00415AA9">
      <w:pPr>
        <w:jc w:val="both"/>
        <w:rPr>
          <w:rFonts w:ascii="Segoe UI" w:hAnsi="Segoe UI" w:cs="Segoe UI"/>
          <w:sz w:val="24"/>
          <w:szCs w:val="24"/>
        </w:rPr>
      </w:pPr>
    </w:p>
    <w:p w:rsidR="00415AA9" w:rsidRPr="00204DDB" w:rsidRDefault="00415AA9" w:rsidP="00415AA9">
      <w:pPr>
        <w:jc w:val="both"/>
        <w:rPr>
          <w:rFonts w:ascii="Segoe UI" w:hAnsi="Segoe UI" w:cs="Segoe UI"/>
          <w:sz w:val="24"/>
          <w:szCs w:val="24"/>
        </w:rPr>
      </w:pPr>
    </w:p>
    <w:p w:rsidR="00415AA9" w:rsidRPr="00204DDB" w:rsidRDefault="00415AA9" w:rsidP="00415AA9">
      <w:pPr>
        <w:jc w:val="both"/>
        <w:rPr>
          <w:rFonts w:ascii="Segoe UI" w:hAnsi="Segoe UI" w:cs="Segoe UI"/>
          <w:sz w:val="24"/>
          <w:szCs w:val="24"/>
        </w:rPr>
      </w:pPr>
    </w:p>
    <w:p w:rsidR="00415AA9" w:rsidRPr="00204DDB" w:rsidRDefault="00415AA9" w:rsidP="00415AA9">
      <w:pPr>
        <w:jc w:val="center"/>
        <w:rPr>
          <w:rFonts w:ascii="Segoe UI" w:eastAsia="Arial Unicode MS" w:hAnsi="Segoe UI" w:cs="Segoe UI"/>
          <w:color w:val="0000FF"/>
          <w:sz w:val="24"/>
          <w:szCs w:val="24"/>
        </w:rPr>
      </w:pPr>
    </w:p>
    <w:p w:rsidR="00415AA9" w:rsidRPr="00204DDB" w:rsidRDefault="00415AA9" w:rsidP="00415AA9">
      <w:pPr>
        <w:jc w:val="center"/>
        <w:rPr>
          <w:rFonts w:ascii="Segoe UI" w:eastAsia="Arial Unicode MS" w:hAnsi="Segoe UI" w:cs="Segoe UI"/>
          <w:color w:val="0000FF"/>
          <w:sz w:val="24"/>
          <w:szCs w:val="24"/>
        </w:rPr>
      </w:pPr>
    </w:p>
    <w:p w:rsidR="00415AA9" w:rsidRPr="00204DDB" w:rsidRDefault="00415AA9" w:rsidP="00415AA9">
      <w:pPr>
        <w:jc w:val="center"/>
        <w:rPr>
          <w:rFonts w:ascii="Segoe UI" w:eastAsia="Arial Unicode MS" w:hAnsi="Segoe UI" w:cs="Segoe UI"/>
          <w:color w:val="0000FF"/>
          <w:sz w:val="24"/>
          <w:szCs w:val="24"/>
        </w:rPr>
      </w:pPr>
    </w:p>
    <w:p w:rsidR="002E17AC" w:rsidRPr="00204DDB" w:rsidRDefault="00BB4E32" w:rsidP="00415AA9">
      <w:pPr>
        <w:jc w:val="center"/>
        <w:rPr>
          <w:rFonts w:ascii="Segoe UI" w:eastAsia="Arial Unicode MS" w:hAnsi="Segoe UI" w:cs="Segoe UI"/>
          <w:color w:val="7030A0"/>
          <w:sz w:val="24"/>
          <w:szCs w:val="24"/>
        </w:rPr>
      </w:pPr>
      <w:r w:rsidRPr="00204DDB">
        <w:rPr>
          <w:rFonts w:ascii="Segoe UI" w:eastAsia="Arial Unicode MS" w:hAnsi="Segoe UI" w:cs="Segoe UI"/>
          <w:color w:val="0000FF"/>
          <w:sz w:val="24"/>
          <w:szCs w:val="24"/>
        </w:rPr>
        <w:t xml:space="preserve"> </w:t>
      </w:r>
    </w:p>
    <w:p w:rsidR="002E17AC" w:rsidRPr="00204DDB" w:rsidRDefault="002E17AC" w:rsidP="002E17AC">
      <w:pPr>
        <w:rPr>
          <w:rFonts w:ascii="Segoe UI" w:eastAsia="Arial Unicode MS" w:hAnsi="Segoe UI" w:cs="Segoe UI"/>
          <w:color w:val="0000FF"/>
          <w:sz w:val="24"/>
          <w:szCs w:val="24"/>
        </w:rPr>
      </w:pPr>
      <w:r w:rsidRPr="00204DDB">
        <w:rPr>
          <w:rFonts w:ascii="Segoe UI" w:eastAsia="Arial Unicode MS" w:hAnsi="Segoe UI" w:cs="Segoe UI"/>
          <w:color w:val="0000FF"/>
          <w:sz w:val="24"/>
          <w:szCs w:val="24"/>
        </w:rPr>
        <w:t>Liên hệ: 0985.404.435</w:t>
      </w:r>
      <w:r w:rsidR="00637A71" w:rsidRPr="00204DDB">
        <w:rPr>
          <w:rFonts w:ascii="Segoe UI" w:eastAsia="Arial Unicode MS" w:hAnsi="Segoe UI" w:cs="Segoe UI"/>
          <w:color w:val="0000FF"/>
          <w:sz w:val="24"/>
          <w:szCs w:val="24"/>
        </w:rPr>
        <w:t xml:space="preserve"> – 0917.032.678</w:t>
      </w:r>
      <w:r w:rsidR="00D115DB">
        <w:rPr>
          <w:rFonts w:ascii="Segoe UI" w:eastAsia="Arial Unicode MS" w:hAnsi="Segoe UI" w:cs="Segoe UI"/>
          <w:color w:val="0000FF"/>
          <w:sz w:val="24"/>
          <w:szCs w:val="24"/>
        </w:rPr>
        <w:t xml:space="preserve">  để được giải đáp vướng mắc</w:t>
      </w:r>
    </w:p>
    <w:p w:rsidR="002E17AC" w:rsidRDefault="002E17AC" w:rsidP="002E17AC">
      <w:pPr>
        <w:rPr>
          <w:rStyle w:val="Hyperlink"/>
          <w:rFonts w:ascii="Segoe UI" w:eastAsia="Arial Unicode MS" w:hAnsi="Segoe UI" w:cs="Segoe UI"/>
          <w:color w:val="0000FF"/>
          <w:sz w:val="24"/>
          <w:szCs w:val="24"/>
        </w:rPr>
      </w:pPr>
      <w:r w:rsidRPr="00204DDB">
        <w:rPr>
          <w:rFonts w:ascii="Segoe UI" w:eastAsia="Arial Unicode MS" w:hAnsi="Segoe UI" w:cs="Segoe UI"/>
          <w:color w:val="0000FF"/>
          <w:sz w:val="24"/>
          <w:szCs w:val="24"/>
        </w:rPr>
        <w:t xml:space="preserve">Email:  </w:t>
      </w:r>
      <w:hyperlink r:id="rId24" w:history="1">
        <w:r w:rsidRPr="00204DDB">
          <w:rPr>
            <w:rStyle w:val="Hyperlink"/>
            <w:rFonts w:ascii="Segoe UI" w:eastAsia="Arial Unicode MS" w:hAnsi="Segoe UI" w:cs="Segoe UI"/>
            <w:color w:val="0000FF"/>
            <w:sz w:val="24"/>
            <w:szCs w:val="24"/>
          </w:rPr>
          <w:t>namnv@office360.vn</w:t>
        </w:r>
      </w:hyperlink>
      <w:r w:rsidRPr="00204DDB">
        <w:rPr>
          <w:rFonts w:ascii="Segoe UI" w:eastAsia="Arial Unicode MS" w:hAnsi="Segoe UI" w:cs="Segoe UI"/>
          <w:color w:val="0000FF"/>
          <w:sz w:val="24"/>
          <w:szCs w:val="24"/>
        </w:rPr>
        <w:t xml:space="preserve"> ; </w:t>
      </w:r>
      <w:hyperlink r:id="rId25" w:history="1">
        <w:r w:rsidRPr="00204DDB">
          <w:rPr>
            <w:rStyle w:val="Hyperlink"/>
            <w:rFonts w:ascii="Segoe UI" w:eastAsia="Arial Unicode MS" w:hAnsi="Segoe UI" w:cs="Segoe UI"/>
            <w:color w:val="0000FF"/>
            <w:sz w:val="24"/>
            <w:szCs w:val="24"/>
          </w:rPr>
          <w:t>nam.doanviet@gmail.com</w:t>
        </w:r>
      </w:hyperlink>
    </w:p>
    <w:p w:rsidR="00D115DB" w:rsidRPr="00204DDB" w:rsidRDefault="00D115DB" w:rsidP="002E17AC">
      <w:pPr>
        <w:rPr>
          <w:rFonts w:ascii="Segoe UI" w:eastAsia="Arial Unicode MS" w:hAnsi="Segoe UI" w:cs="Segoe UI"/>
          <w:color w:val="0000FF"/>
          <w:sz w:val="24"/>
          <w:szCs w:val="24"/>
        </w:rPr>
      </w:pPr>
    </w:p>
    <w:p w:rsidR="002E17AC" w:rsidRPr="00204DDB" w:rsidRDefault="002E17AC" w:rsidP="002E17AC">
      <w:pPr>
        <w:rPr>
          <w:rFonts w:ascii="Segoe UI" w:eastAsia="Arial Unicode MS" w:hAnsi="Segoe UI" w:cs="Segoe UI"/>
          <w:color w:val="0000FF"/>
          <w:sz w:val="24"/>
          <w:szCs w:val="24"/>
        </w:rPr>
      </w:pPr>
    </w:p>
    <w:p w:rsidR="002E17AC" w:rsidRPr="00204DDB" w:rsidRDefault="002E17AC" w:rsidP="002E17AC">
      <w:pPr>
        <w:rPr>
          <w:rFonts w:ascii="Segoe UI" w:eastAsia="Arial Unicode MS" w:hAnsi="Segoe UI" w:cs="Segoe UI"/>
          <w:color w:val="0000FF"/>
          <w:sz w:val="24"/>
          <w:szCs w:val="24"/>
        </w:rPr>
      </w:pPr>
    </w:p>
    <w:sectPr w:rsidR="002E17AC" w:rsidRPr="00204DDB" w:rsidSect="007838E1">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56" w:rsidRDefault="00377656" w:rsidP="00637A71">
      <w:pPr>
        <w:spacing w:after="0" w:line="240" w:lineRule="auto"/>
      </w:pPr>
      <w:r>
        <w:separator/>
      </w:r>
    </w:p>
  </w:endnote>
  <w:endnote w:type="continuationSeparator" w:id="0">
    <w:p w:rsidR="00377656" w:rsidRDefault="00377656" w:rsidP="0063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56" w:rsidRDefault="00377656" w:rsidP="00637A71">
      <w:pPr>
        <w:spacing w:after="0" w:line="240" w:lineRule="auto"/>
      </w:pPr>
      <w:r>
        <w:separator/>
      </w:r>
    </w:p>
  </w:footnote>
  <w:footnote w:type="continuationSeparator" w:id="0">
    <w:p w:rsidR="00377656" w:rsidRDefault="00377656" w:rsidP="0063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71" w:rsidRDefault="00637A71" w:rsidP="00637A71">
    <w:pPr>
      <w:pStyle w:val="Header"/>
      <w:jc w:val="right"/>
    </w:pPr>
    <w:r>
      <w:rPr>
        <w:noProof/>
      </w:rPr>
      <w:drawing>
        <wp:inline distT="0" distB="0" distL="0" distR="0" wp14:anchorId="03340F4F" wp14:editId="7F3C0C02">
          <wp:extent cx="1654626" cy="609600"/>
          <wp:effectExtent l="0" t="0" r="3175" b="0"/>
          <wp:docPr id="8"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393" cy="61098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DCD"/>
    <w:multiLevelType w:val="multilevel"/>
    <w:tmpl w:val="97B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AC"/>
    <w:rsid w:val="000878ED"/>
    <w:rsid w:val="001D305E"/>
    <w:rsid w:val="00204DDB"/>
    <w:rsid w:val="002E17AC"/>
    <w:rsid w:val="003456CC"/>
    <w:rsid w:val="00377656"/>
    <w:rsid w:val="003D55A3"/>
    <w:rsid w:val="00415AA9"/>
    <w:rsid w:val="00474D26"/>
    <w:rsid w:val="00494AE0"/>
    <w:rsid w:val="00522B7E"/>
    <w:rsid w:val="005C15D4"/>
    <w:rsid w:val="00637A71"/>
    <w:rsid w:val="007838E1"/>
    <w:rsid w:val="0084195C"/>
    <w:rsid w:val="00864434"/>
    <w:rsid w:val="009C4F2F"/>
    <w:rsid w:val="00A31474"/>
    <w:rsid w:val="00B67D84"/>
    <w:rsid w:val="00BB4E32"/>
    <w:rsid w:val="00D115DB"/>
    <w:rsid w:val="00D365D1"/>
    <w:rsid w:val="00E0604A"/>
    <w:rsid w:val="00E6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4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AC"/>
    <w:rPr>
      <w:color w:val="0000FF" w:themeColor="hyperlink"/>
      <w:u w:val="single"/>
    </w:rPr>
  </w:style>
  <w:style w:type="paragraph" w:styleId="Header">
    <w:name w:val="header"/>
    <w:basedOn w:val="Normal"/>
    <w:link w:val="HeaderChar"/>
    <w:uiPriority w:val="99"/>
    <w:unhideWhenUsed/>
    <w:rsid w:val="0063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71"/>
  </w:style>
  <w:style w:type="paragraph" w:styleId="Footer">
    <w:name w:val="footer"/>
    <w:basedOn w:val="Normal"/>
    <w:link w:val="FooterChar"/>
    <w:uiPriority w:val="99"/>
    <w:unhideWhenUsed/>
    <w:rsid w:val="0063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71"/>
  </w:style>
  <w:style w:type="paragraph" w:styleId="BalloonText">
    <w:name w:val="Balloon Text"/>
    <w:basedOn w:val="Normal"/>
    <w:link w:val="BalloonTextChar"/>
    <w:uiPriority w:val="99"/>
    <w:semiHidden/>
    <w:unhideWhenUsed/>
    <w:rsid w:val="0063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71"/>
    <w:rPr>
      <w:rFonts w:ascii="Tahoma" w:hAnsi="Tahoma" w:cs="Tahoma"/>
      <w:sz w:val="16"/>
      <w:szCs w:val="16"/>
    </w:rPr>
  </w:style>
  <w:style w:type="character" w:customStyle="1" w:styleId="Heading2Char">
    <w:name w:val="Heading 2 Char"/>
    <w:basedOn w:val="DefaultParagraphFont"/>
    <w:link w:val="Heading2"/>
    <w:uiPriority w:val="9"/>
    <w:rsid w:val="009C4F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F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2F"/>
    <w:rPr>
      <w:b/>
      <w:bCs/>
    </w:rPr>
  </w:style>
  <w:style w:type="character" w:styleId="Emphasis">
    <w:name w:val="Emphasis"/>
    <w:basedOn w:val="DefaultParagraphFont"/>
    <w:uiPriority w:val="20"/>
    <w:qFormat/>
    <w:rsid w:val="009C4F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4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AC"/>
    <w:rPr>
      <w:color w:val="0000FF" w:themeColor="hyperlink"/>
      <w:u w:val="single"/>
    </w:rPr>
  </w:style>
  <w:style w:type="paragraph" w:styleId="Header">
    <w:name w:val="header"/>
    <w:basedOn w:val="Normal"/>
    <w:link w:val="HeaderChar"/>
    <w:uiPriority w:val="99"/>
    <w:unhideWhenUsed/>
    <w:rsid w:val="0063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71"/>
  </w:style>
  <w:style w:type="paragraph" w:styleId="Footer">
    <w:name w:val="footer"/>
    <w:basedOn w:val="Normal"/>
    <w:link w:val="FooterChar"/>
    <w:uiPriority w:val="99"/>
    <w:unhideWhenUsed/>
    <w:rsid w:val="0063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71"/>
  </w:style>
  <w:style w:type="paragraph" w:styleId="BalloonText">
    <w:name w:val="Balloon Text"/>
    <w:basedOn w:val="Normal"/>
    <w:link w:val="BalloonTextChar"/>
    <w:uiPriority w:val="99"/>
    <w:semiHidden/>
    <w:unhideWhenUsed/>
    <w:rsid w:val="0063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71"/>
    <w:rPr>
      <w:rFonts w:ascii="Tahoma" w:hAnsi="Tahoma" w:cs="Tahoma"/>
      <w:sz w:val="16"/>
      <w:szCs w:val="16"/>
    </w:rPr>
  </w:style>
  <w:style w:type="character" w:customStyle="1" w:styleId="Heading2Char">
    <w:name w:val="Heading 2 Char"/>
    <w:basedOn w:val="DefaultParagraphFont"/>
    <w:link w:val="Heading2"/>
    <w:uiPriority w:val="9"/>
    <w:rsid w:val="009C4F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F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2F"/>
    <w:rPr>
      <w:b/>
      <w:bCs/>
    </w:rPr>
  </w:style>
  <w:style w:type="character" w:styleId="Emphasis">
    <w:name w:val="Emphasis"/>
    <w:basedOn w:val="DefaultParagraphFont"/>
    <w:uiPriority w:val="20"/>
    <w:qFormat/>
    <w:rsid w:val="009C4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6506">
      <w:bodyDiv w:val="1"/>
      <w:marLeft w:val="0"/>
      <w:marRight w:val="0"/>
      <w:marTop w:val="0"/>
      <w:marBottom w:val="0"/>
      <w:divBdr>
        <w:top w:val="none" w:sz="0" w:space="0" w:color="auto"/>
        <w:left w:val="none" w:sz="0" w:space="0" w:color="auto"/>
        <w:bottom w:val="none" w:sz="0" w:space="0" w:color="auto"/>
        <w:right w:val="none" w:sz="0" w:space="0" w:color="auto"/>
      </w:divBdr>
    </w:div>
    <w:div w:id="1952004636">
      <w:bodyDiv w:val="1"/>
      <w:marLeft w:val="0"/>
      <w:marRight w:val="0"/>
      <w:marTop w:val="0"/>
      <w:marBottom w:val="0"/>
      <w:divBdr>
        <w:top w:val="none" w:sz="0" w:space="0" w:color="auto"/>
        <w:left w:val="none" w:sz="0" w:space="0" w:color="auto"/>
        <w:bottom w:val="none" w:sz="0" w:space="0" w:color="auto"/>
        <w:right w:val="none" w:sz="0" w:space="0" w:color="auto"/>
      </w:divBdr>
    </w:div>
    <w:div w:id="21361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ax.edu.vn/thong-tu-962015tt-btc-huong-dan-ve-thue-thu-nhap-doanh-nghiep/" TargetMode="External"/><Relationship Id="rId18" Type="http://schemas.openxmlformats.org/officeDocument/2006/relationships/hyperlink" Target="http://centax.edu.vn/thu-nhap-tu-hoat-dong-san-xuat-kinh-doanh-hang-hoa-dich-vu-o-nuoc-ngo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ilythuecongminh.com/mot-so-diem-moi-tt39-2014tt-btc/" TargetMode="External"/><Relationship Id="rId7" Type="http://schemas.openxmlformats.org/officeDocument/2006/relationships/footnotes" Target="footnotes.xml"/><Relationship Id="rId12" Type="http://schemas.openxmlformats.org/officeDocument/2006/relationships/hyperlink" Target="http://centax.edu.vn/thong-tu-78-huong-dan-thi-hanh-luat-thue-thu-nhap-doanh-nghiep/" TargetMode="External"/><Relationship Id="rId17" Type="http://schemas.openxmlformats.org/officeDocument/2006/relationships/hyperlink" Target="http://centax.edu.vn/thong-tu-78-huong-dan-thi-hanh-luat-thue-thu-nhap-doanh-nghiep/" TargetMode="External"/><Relationship Id="rId25" Type="http://schemas.openxmlformats.org/officeDocument/2006/relationships/hyperlink" Target="mailto:nam.doanviet@gmail.com" TargetMode="External"/><Relationship Id="rId2" Type="http://schemas.openxmlformats.org/officeDocument/2006/relationships/numbering" Target="numbering.xml"/><Relationship Id="rId16" Type="http://schemas.openxmlformats.org/officeDocument/2006/relationships/hyperlink" Target="http://centax.edu.vn/thong-tu-78-huong-dan-thi-hanh-luat-thue-thu-nhap-doanh-nghiep/" TargetMode="External"/><Relationship Id="rId20" Type="http://schemas.openxmlformats.org/officeDocument/2006/relationships/hyperlink" Target="http://dailythuecongminh.com/diem-moi-thong-tu-962015tt-b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ax.edu.vn/thong-tu-78-huong-dan-thi-hanh-luat-thue-thu-nhap-doanh-nghiep/" TargetMode="External"/><Relationship Id="rId24" Type="http://schemas.openxmlformats.org/officeDocument/2006/relationships/hyperlink" Target="mailto:namnv@office360.vn" TargetMode="External"/><Relationship Id="rId5" Type="http://schemas.openxmlformats.org/officeDocument/2006/relationships/settings" Target="settings.xml"/><Relationship Id="rId15" Type="http://schemas.openxmlformats.org/officeDocument/2006/relationships/hyperlink" Target="http://centax.edu.vn/thong-tu-78-huong-dan-thi-hanh-luat-thue-thu-nhap-doanh-nghiep/" TargetMode="External"/><Relationship Id="rId23" Type="http://schemas.openxmlformats.org/officeDocument/2006/relationships/hyperlink" Target="http://dailythuecongminh.com/diem-moi-thong-tu-962015tt-btc/"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dailythuecongminh.com/diem-moi-thong-tu-962015tt-btc/" TargetMode="External"/><Relationship Id="rId4" Type="http://schemas.microsoft.com/office/2007/relationships/stylesWithEffects" Target="stylesWithEffects.xml"/><Relationship Id="rId9" Type="http://schemas.openxmlformats.org/officeDocument/2006/relationships/hyperlink" Target="http://4.bp.blogspot.com/-JkUst9nR3As/VnkdCG6KC6I/AAAAAAAAAU0/nizbkUJP1g8/s1600/chi+ph%C3%AD+kh%C3%B4ng+%C4%91%C6%B0%E1%BB%A3c+tr%E1%BB%AB.jpg" TargetMode="External"/><Relationship Id="rId14" Type="http://schemas.openxmlformats.org/officeDocument/2006/relationships/hyperlink" Target="http://centax.edu.vn/thong-tu-78-huong-dan-thi-hanh-luat-thue-thu-nhap-doanh-nghiep/" TargetMode="External"/><Relationship Id="rId22" Type="http://schemas.openxmlformats.org/officeDocument/2006/relationships/hyperlink" Target="http://dailythuecongminh.com/diem-moi-thong-tu-2192013tt-bt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Kh&#243;a h&#7885;c_H&#7885;c ph&#237;'!A7"/></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5547-7ADE-4DDE-B820-6B5478AC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5927</Words>
  <Characters>33785</Characters>
  <Application>Microsoft Office Word</Application>
  <DocSecurity>0</DocSecurity>
  <Lines>281</Lines>
  <Paragraphs>79</Paragraphs>
  <ScaleCrop>false</ScaleCrop>
  <Company>home</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2019-07-23T03:15:00Z</cp:lastPrinted>
  <dcterms:created xsi:type="dcterms:W3CDTF">2019-07-01T09:28:00Z</dcterms:created>
  <dcterms:modified xsi:type="dcterms:W3CDTF">2019-07-23T03:15:00Z</dcterms:modified>
</cp:coreProperties>
</file>