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6B" w:rsidRPr="004B7484" w:rsidRDefault="00F77B6B">
      <w:pPr>
        <w:rPr>
          <w:rFonts w:ascii="Segoe UI" w:hAnsi="Segoe UI" w:cs="Segoe UI"/>
          <w:sz w:val="24"/>
          <w:szCs w:val="24"/>
        </w:rPr>
      </w:pPr>
      <w:bookmarkStart w:id="0" w:name="_GoBack"/>
      <w:bookmarkEnd w:id="0"/>
    </w:p>
    <w:p w:rsidR="004B7484" w:rsidRPr="009977BB" w:rsidRDefault="004B7484" w:rsidP="004B7484">
      <w:pPr>
        <w:shd w:val="clear" w:color="auto" w:fill="FFFFFF"/>
        <w:spacing w:before="150" w:after="0" w:line="240" w:lineRule="auto"/>
        <w:jc w:val="both"/>
        <w:rPr>
          <w:rFonts w:ascii="Segoe UI" w:eastAsia="Times New Roman" w:hAnsi="Segoe UI" w:cs="Segoe UI"/>
          <w:b/>
          <w:bCs/>
          <w:color w:val="ED7D31" w:themeColor="accent2"/>
          <w:sz w:val="28"/>
          <w:szCs w:val="28"/>
        </w:rPr>
      </w:pPr>
      <w:r w:rsidRPr="009977BB">
        <w:rPr>
          <w:rFonts w:ascii="Segoe UI" w:eastAsia="Times New Roman" w:hAnsi="Segoe UI" w:cs="Segoe UI"/>
          <w:b/>
          <w:bCs/>
          <w:color w:val="ED7D31" w:themeColor="accent2"/>
          <w:sz w:val="28"/>
          <w:szCs w:val="28"/>
        </w:rPr>
        <w:t>HƯỚNG DẪN CÁ NHÂN TỰ QUYẾT TOÁN THUẾ THU NHẬP CÁ NHÂN</w:t>
      </w:r>
    </w:p>
    <w:p w:rsidR="004B7484" w:rsidRPr="009977BB" w:rsidRDefault="004B7484" w:rsidP="009977BB">
      <w:pPr>
        <w:shd w:val="clear" w:color="auto" w:fill="FFFFFF"/>
        <w:spacing w:before="150" w:after="0" w:line="240" w:lineRule="auto"/>
        <w:jc w:val="right"/>
        <w:rPr>
          <w:rFonts w:ascii="Segoe UI" w:eastAsia="Times New Roman" w:hAnsi="Segoe UI" w:cs="Segoe UI"/>
          <w:bCs/>
          <w:i/>
          <w:color w:val="0000CC"/>
          <w:sz w:val="18"/>
          <w:szCs w:val="18"/>
        </w:rPr>
      </w:pPr>
      <w:r w:rsidRPr="009977BB">
        <w:rPr>
          <w:rFonts w:ascii="Segoe UI" w:eastAsia="Times New Roman" w:hAnsi="Segoe UI" w:cs="Segoe UI"/>
          <w:bCs/>
          <w:i/>
          <w:color w:val="0000CC"/>
          <w:sz w:val="18"/>
          <w:szCs w:val="18"/>
        </w:rPr>
        <w:t>Cập nhật ngày 20 tháng 10 năm 2019</w:t>
      </w:r>
    </w:p>
    <w:p w:rsidR="004B7484" w:rsidRPr="004B7484" w:rsidRDefault="004B7484" w:rsidP="009977BB">
      <w:pPr>
        <w:shd w:val="clear" w:color="auto" w:fill="FFFFFF"/>
        <w:spacing w:before="150" w:after="0" w:line="240" w:lineRule="auto"/>
        <w:jc w:val="both"/>
        <w:rPr>
          <w:rFonts w:ascii="Segoe UI" w:eastAsia="Times New Roman" w:hAnsi="Segoe UI" w:cs="Segoe UI"/>
          <w:color w:val="ED7D31" w:themeColor="accent2"/>
          <w:sz w:val="18"/>
          <w:szCs w:val="18"/>
        </w:rPr>
      </w:pPr>
      <w:r w:rsidRPr="009977BB">
        <w:rPr>
          <w:rFonts w:ascii="Segoe UI" w:eastAsia="Times New Roman" w:hAnsi="Segoe UI" w:cs="Segoe UI"/>
          <w:b/>
          <w:bCs/>
          <w:color w:val="ED7D31" w:themeColor="accent2"/>
          <w:sz w:val="21"/>
          <w:szCs w:val="21"/>
        </w:rPr>
        <w:t>1. Đối tượng</w:t>
      </w:r>
      <w:r w:rsidR="009977BB" w:rsidRPr="009977BB">
        <w:rPr>
          <w:rFonts w:ascii="Segoe UI" w:eastAsia="Times New Roman" w:hAnsi="Segoe UI" w:cs="Segoe UI"/>
          <w:b/>
          <w:bCs/>
          <w:color w:val="ED7D31" w:themeColor="accent2"/>
          <w:sz w:val="21"/>
          <w:szCs w:val="21"/>
        </w:rPr>
        <w:t xml:space="preserve"> bắt buộc phải quyết toán thuế thu nhập cá nhân</w:t>
      </w:r>
      <w:r w:rsidRPr="009977BB">
        <w:rPr>
          <w:rFonts w:ascii="Segoe UI" w:eastAsia="Times New Roman" w:hAnsi="Segoe UI" w:cs="Segoe UI"/>
          <w:b/>
          <w:bCs/>
          <w:color w:val="ED7D31" w:themeColor="accent2"/>
          <w:sz w:val="21"/>
          <w:szCs w:val="21"/>
        </w:rPr>
        <w:t>: </w:t>
      </w:r>
    </w:p>
    <w:p w:rsidR="004B7484" w:rsidRPr="009977BB" w:rsidRDefault="004B7484" w:rsidP="009977BB">
      <w:pPr>
        <w:pStyle w:val="ListParagraph"/>
        <w:numPr>
          <w:ilvl w:val="0"/>
          <w:numId w:val="1"/>
        </w:numPr>
        <w:shd w:val="clear" w:color="auto" w:fill="FFFFFF"/>
        <w:spacing w:before="150" w:after="0" w:line="240" w:lineRule="auto"/>
        <w:ind w:left="142" w:hanging="142"/>
        <w:jc w:val="both"/>
        <w:rPr>
          <w:rFonts w:ascii="Segoe UI" w:eastAsia="Times New Roman" w:hAnsi="Segoe UI" w:cs="Segoe UI"/>
          <w:color w:val="000000"/>
          <w:sz w:val="18"/>
          <w:szCs w:val="18"/>
        </w:rPr>
      </w:pPr>
      <w:r w:rsidRPr="009977BB">
        <w:rPr>
          <w:rFonts w:ascii="Segoe UI" w:eastAsia="Times New Roman" w:hAnsi="Segoe UI" w:cs="Segoe UI"/>
          <w:color w:val="000000"/>
          <w:sz w:val="21"/>
          <w:szCs w:val="21"/>
        </w:rPr>
        <w:t>Cá nhân cư trú có thu nhập từ tiền lương, tiền công có số thuế phải nộp thêm hoặc có số thuế nộp thừa có nhu cầu hoàn thuế hoặc bù trừ thuế vào kỳ sau. Cụ thể: </w:t>
      </w:r>
    </w:p>
    <w:p w:rsidR="004B7484" w:rsidRPr="009977BB" w:rsidRDefault="009977BB" w:rsidP="009977BB">
      <w:pPr>
        <w:pStyle w:val="ListParagraph"/>
        <w:shd w:val="clear" w:color="auto" w:fill="FFFFFF"/>
        <w:spacing w:before="150" w:after="0" w:line="240" w:lineRule="auto"/>
        <w:ind w:left="142"/>
        <w:jc w:val="both"/>
        <w:rPr>
          <w:rFonts w:ascii="Segoe UI" w:eastAsia="Times New Roman" w:hAnsi="Segoe UI" w:cs="Segoe UI"/>
          <w:color w:val="000000"/>
          <w:sz w:val="18"/>
          <w:szCs w:val="18"/>
        </w:rPr>
      </w:pPr>
      <w:r>
        <w:rPr>
          <w:rFonts w:ascii="Segoe UI" w:eastAsia="Times New Roman" w:hAnsi="Segoe UI" w:cs="Segoe UI"/>
          <w:color w:val="000000"/>
          <w:sz w:val="21"/>
          <w:szCs w:val="21"/>
        </w:rPr>
        <w:t xml:space="preserve">- </w:t>
      </w:r>
      <w:r w:rsidR="004B7484" w:rsidRPr="009977BB">
        <w:rPr>
          <w:rFonts w:ascii="Segoe UI" w:eastAsia="Times New Roman" w:hAnsi="Segoe UI" w:cs="Segoe UI"/>
          <w:color w:val="000000"/>
          <w:sz w:val="21"/>
          <w:szCs w:val="21"/>
        </w:rPr>
        <w:t>Cá nhân </w:t>
      </w:r>
      <w:r w:rsidR="004B7484" w:rsidRPr="009977BB">
        <w:rPr>
          <w:rFonts w:ascii="Segoe UI" w:eastAsia="Times New Roman" w:hAnsi="Segoe UI" w:cs="Segoe UI"/>
          <w:b/>
          <w:bCs/>
          <w:color w:val="0000CC"/>
          <w:sz w:val="21"/>
          <w:szCs w:val="21"/>
        </w:rPr>
        <w:t>chỉ có thu nhập vãng lai</w:t>
      </w:r>
      <w:r w:rsidR="004B7484" w:rsidRPr="009977BB">
        <w:rPr>
          <w:rFonts w:ascii="Segoe UI" w:eastAsia="Times New Roman" w:hAnsi="Segoe UI" w:cs="Segoe UI"/>
          <w:color w:val="0000CC"/>
          <w:sz w:val="21"/>
          <w:szCs w:val="21"/>
        </w:rPr>
        <w:t> </w:t>
      </w:r>
      <w:r w:rsidR="004B7484" w:rsidRPr="009977BB">
        <w:rPr>
          <w:rFonts w:ascii="Segoe UI" w:eastAsia="Times New Roman" w:hAnsi="Segoe UI" w:cs="Segoe UI"/>
          <w:color w:val="000000"/>
          <w:sz w:val="21"/>
          <w:szCs w:val="21"/>
        </w:rPr>
        <w:t>đã</w:t>
      </w:r>
      <w:r>
        <w:rPr>
          <w:rFonts w:ascii="Segoe UI" w:eastAsia="Times New Roman" w:hAnsi="Segoe UI" w:cs="Segoe UI"/>
          <w:color w:val="000000"/>
          <w:sz w:val="21"/>
          <w:szCs w:val="21"/>
        </w:rPr>
        <w:t xml:space="preserve"> khấu trừ thuế theo tỷ lệ 10%. </w:t>
      </w:r>
      <w:r w:rsidR="004B7484" w:rsidRPr="009977BB">
        <w:rPr>
          <w:rFonts w:ascii="Segoe UI" w:eastAsia="Times New Roman" w:hAnsi="Segoe UI" w:cs="Segoe UI"/>
          <w:color w:val="000000"/>
          <w:sz w:val="21"/>
          <w:szCs w:val="21"/>
        </w:rPr>
        <w:t>Thu nhập vãng lai là tất cả các thu nhập từ một nơi hay nhiều nơi nhưng không ký hợp đồng hoặc ký HĐ dưới 3 tháng, thời vụ</w:t>
      </w:r>
      <w:r>
        <w:rPr>
          <w:rFonts w:ascii="Segoe UI" w:eastAsia="Times New Roman" w:hAnsi="Segoe UI" w:cs="Segoe UI"/>
          <w:color w:val="000000"/>
          <w:sz w:val="21"/>
          <w:szCs w:val="21"/>
        </w:rPr>
        <w:t>, khoán công việc ngắn hạn.</w:t>
      </w:r>
    </w:p>
    <w:p w:rsidR="004B7484" w:rsidRPr="009977BB" w:rsidRDefault="009977BB" w:rsidP="009977BB">
      <w:pPr>
        <w:pStyle w:val="ListParagraph"/>
        <w:shd w:val="clear" w:color="auto" w:fill="FFFFFF"/>
        <w:spacing w:before="150" w:after="0" w:line="240" w:lineRule="auto"/>
        <w:ind w:left="142"/>
        <w:jc w:val="both"/>
        <w:rPr>
          <w:rFonts w:ascii="Segoe UI" w:eastAsia="Times New Roman" w:hAnsi="Segoe UI" w:cs="Segoe UI"/>
          <w:color w:val="000000"/>
          <w:sz w:val="18"/>
          <w:szCs w:val="18"/>
        </w:rPr>
      </w:pPr>
      <w:r>
        <w:rPr>
          <w:rFonts w:ascii="Segoe UI" w:eastAsia="Times New Roman" w:hAnsi="Segoe UI" w:cs="Segoe UI"/>
          <w:color w:val="000000"/>
          <w:sz w:val="21"/>
          <w:szCs w:val="21"/>
        </w:rPr>
        <w:t xml:space="preserve">- </w:t>
      </w:r>
      <w:r w:rsidR="004B7484" w:rsidRPr="009977BB">
        <w:rPr>
          <w:rFonts w:ascii="Segoe UI" w:eastAsia="Times New Roman" w:hAnsi="Segoe UI" w:cs="Segoe UI"/>
          <w:color w:val="000000"/>
          <w:sz w:val="21"/>
          <w:szCs w:val="21"/>
        </w:rPr>
        <w:t>Cá nhân có thu nhập từ tiền lương, tiền công </w:t>
      </w:r>
      <w:r w:rsidRPr="009977BB">
        <w:rPr>
          <w:rFonts w:ascii="Segoe UI" w:eastAsia="Times New Roman" w:hAnsi="Segoe UI" w:cs="Segoe UI"/>
          <w:b/>
          <w:bCs/>
          <w:color w:val="0000CC"/>
          <w:sz w:val="21"/>
          <w:szCs w:val="21"/>
        </w:rPr>
        <w:t>ký hợp đồng lao động</w:t>
      </w:r>
      <w:r w:rsidR="004B7484" w:rsidRPr="009977BB">
        <w:rPr>
          <w:rFonts w:ascii="Segoe UI" w:eastAsia="Times New Roman" w:hAnsi="Segoe UI" w:cs="Segoe UI"/>
          <w:b/>
          <w:bCs/>
          <w:color w:val="0000CC"/>
          <w:sz w:val="21"/>
          <w:szCs w:val="21"/>
        </w:rPr>
        <w:t xml:space="preserve"> từ 03 tháng trở lên tại một </w:t>
      </w:r>
      <w:r w:rsidRPr="009977BB">
        <w:rPr>
          <w:rFonts w:ascii="Segoe UI" w:eastAsia="Times New Roman" w:hAnsi="Segoe UI" w:cs="Segoe UI"/>
          <w:b/>
          <w:bCs/>
          <w:color w:val="0000CC"/>
          <w:sz w:val="21"/>
          <w:szCs w:val="21"/>
        </w:rPr>
        <w:t>nơi</w:t>
      </w:r>
      <w:r w:rsidR="004B7484" w:rsidRPr="009977BB">
        <w:rPr>
          <w:rFonts w:ascii="Segoe UI" w:eastAsia="Times New Roman" w:hAnsi="Segoe UI" w:cs="Segoe UI"/>
          <w:color w:val="000000"/>
          <w:sz w:val="21"/>
          <w:szCs w:val="21"/>
        </w:rPr>
        <w:t>, </w:t>
      </w:r>
      <w:r w:rsidR="004B7484" w:rsidRPr="009977BB">
        <w:rPr>
          <w:rFonts w:ascii="Segoe UI" w:eastAsia="Times New Roman" w:hAnsi="Segoe UI" w:cs="Segoe UI"/>
          <w:bCs/>
          <w:sz w:val="21"/>
          <w:szCs w:val="21"/>
        </w:rPr>
        <w:t>đồng thời</w:t>
      </w:r>
      <w:r w:rsidR="004B7484" w:rsidRPr="009977BB">
        <w:rPr>
          <w:rFonts w:ascii="Segoe UI" w:eastAsia="Times New Roman" w:hAnsi="Segoe UI" w:cs="Segoe UI"/>
          <w:b/>
          <w:bCs/>
          <w:color w:val="0000FF"/>
          <w:sz w:val="21"/>
          <w:szCs w:val="21"/>
        </w:rPr>
        <w:t> </w:t>
      </w:r>
      <w:r w:rsidR="004B7484" w:rsidRPr="009977BB">
        <w:rPr>
          <w:rFonts w:ascii="Segoe UI" w:eastAsia="Times New Roman" w:hAnsi="Segoe UI" w:cs="Segoe UI"/>
          <w:color w:val="000000"/>
          <w:sz w:val="21"/>
          <w:szCs w:val="21"/>
        </w:rPr>
        <w:t>có thu nhập vãng lai </w:t>
      </w:r>
      <w:r w:rsidRPr="009977BB">
        <w:rPr>
          <w:rFonts w:ascii="Segoe UI" w:eastAsia="Times New Roman" w:hAnsi="Segoe UI" w:cs="Segoe UI"/>
          <w:b/>
          <w:bCs/>
          <w:color w:val="0000CC"/>
          <w:sz w:val="21"/>
          <w:szCs w:val="21"/>
        </w:rPr>
        <w:t xml:space="preserve">trên 10 triệu đồng một </w:t>
      </w:r>
      <w:r w:rsidR="004B7484" w:rsidRPr="009977BB">
        <w:rPr>
          <w:rFonts w:ascii="Segoe UI" w:eastAsia="Times New Roman" w:hAnsi="Segoe UI" w:cs="Segoe UI"/>
          <w:b/>
          <w:bCs/>
          <w:color w:val="0000CC"/>
          <w:sz w:val="21"/>
          <w:szCs w:val="21"/>
        </w:rPr>
        <w:t>tháng</w:t>
      </w:r>
      <w:r w:rsidR="004B7484" w:rsidRPr="009977BB">
        <w:rPr>
          <w:rFonts w:ascii="Segoe UI" w:eastAsia="Times New Roman" w:hAnsi="Segoe UI" w:cs="Segoe UI"/>
          <w:color w:val="0000CC"/>
          <w:sz w:val="21"/>
          <w:szCs w:val="21"/>
        </w:rPr>
        <w:t> </w:t>
      </w:r>
      <w:r w:rsidR="004B7484" w:rsidRPr="009977BB">
        <w:rPr>
          <w:rFonts w:ascii="Segoe UI" w:eastAsia="Times New Roman" w:hAnsi="Segoe UI" w:cs="Segoe UI"/>
          <w:color w:val="000000"/>
          <w:sz w:val="21"/>
          <w:szCs w:val="21"/>
        </w:rPr>
        <w:t>hoặc </w:t>
      </w:r>
      <w:r w:rsidR="004B7484" w:rsidRPr="009977BB">
        <w:rPr>
          <w:rFonts w:ascii="Segoe UI" w:eastAsia="Times New Roman" w:hAnsi="Segoe UI" w:cs="Segoe UI"/>
          <w:b/>
          <w:bCs/>
          <w:color w:val="0000CC"/>
          <w:sz w:val="21"/>
          <w:szCs w:val="21"/>
        </w:rPr>
        <w:t>chưa khấu trừ thuế</w:t>
      </w:r>
      <w:r w:rsidR="004B7484" w:rsidRPr="009977BB">
        <w:rPr>
          <w:rFonts w:ascii="Segoe UI" w:eastAsia="Times New Roman" w:hAnsi="Segoe UI" w:cs="Segoe UI"/>
          <w:color w:val="0000CC"/>
          <w:sz w:val="21"/>
          <w:szCs w:val="21"/>
        </w:rPr>
        <w:t> </w:t>
      </w:r>
      <w:r w:rsidR="004B7484" w:rsidRPr="009977BB">
        <w:rPr>
          <w:rFonts w:ascii="Segoe UI" w:eastAsia="Times New Roman" w:hAnsi="Segoe UI" w:cs="Segoe UI"/>
          <w:color w:val="000000"/>
          <w:sz w:val="21"/>
          <w:szCs w:val="21"/>
        </w:rPr>
        <w:t>(bao gồm trường hợp chưa đến mức khấu trừ và đã đến mức khấu trừ nhưng không khấu trừ).</w:t>
      </w:r>
    </w:p>
    <w:p w:rsidR="004B7484" w:rsidRPr="009977BB" w:rsidRDefault="004B7484" w:rsidP="009977BB">
      <w:pPr>
        <w:pStyle w:val="ListParagraph"/>
        <w:numPr>
          <w:ilvl w:val="0"/>
          <w:numId w:val="1"/>
        </w:numPr>
        <w:shd w:val="clear" w:color="auto" w:fill="FFFFFF"/>
        <w:spacing w:before="150" w:after="0" w:line="240" w:lineRule="auto"/>
        <w:ind w:left="142" w:hanging="142"/>
        <w:jc w:val="both"/>
        <w:rPr>
          <w:rFonts w:ascii="Segoe UI" w:eastAsia="Times New Roman" w:hAnsi="Segoe UI" w:cs="Segoe UI"/>
          <w:color w:val="000000"/>
          <w:sz w:val="18"/>
          <w:szCs w:val="18"/>
        </w:rPr>
      </w:pPr>
      <w:r w:rsidRPr="009977BB">
        <w:rPr>
          <w:rFonts w:ascii="Segoe UI" w:eastAsia="Times New Roman" w:hAnsi="Segoe UI" w:cs="Segoe UI"/>
          <w:color w:val="000000"/>
          <w:sz w:val="21"/>
          <w:szCs w:val="21"/>
        </w:rPr>
        <w:t xml:space="preserve">Cá nhân có thu nhập từ tiền lương, tiền </w:t>
      </w:r>
      <w:r w:rsidRPr="009977BB">
        <w:rPr>
          <w:rFonts w:ascii="Segoe UI" w:eastAsia="Times New Roman" w:hAnsi="Segoe UI" w:cs="Segoe UI"/>
          <w:sz w:val="21"/>
          <w:szCs w:val="21"/>
        </w:rPr>
        <w:t xml:space="preserve">công </w:t>
      </w:r>
      <w:r w:rsidR="009977BB" w:rsidRPr="009977BB">
        <w:rPr>
          <w:rFonts w:ascii="Segoe UI" w:eastAsia="Times New Roman" w:hAnsi="Segoe UI" w:cs="Segoe UI"/>
          <w:bCs/>
          <w:sz w:val="21"/>
          <w:szCs w:val="21"/>
        </w:rPr>
        <w:t>ký hợp đồng lao động</w:t>
      </w:r>
      <w:r w:rsidR="009977BB" w:rsidRPr="009977BB">
        <w:rPr>
          <w:rFonts w:ascii="Segoe UI" w:eastAsia="Times New Roman" w:hAnsi="Segoe UI" w:cs="Segoe UI"/>
          <w:b/>
          <w:bCs/>
          <w:sz w:val="21"/>
          <w:szCs w:val="21"/>
        </w:rPr>
        <w:t xml:space="preserve"> </w:t>
      </w:r>
      <w:r w:rsidRPr="009977BB">
        <w:rPr>
          <w:rFonts w:ascii="Segoe UI" w:eastAsia="Times New Roman" w:hAnsi="Segoe UI" w:cs="Segoe UI"/>
          <w:color w:val="000000"/>
          <w:sz w:val="21"/>
          <w:szCs w:val="21"/>
        </w:rPr>
        <w:t>từ 03 tháng trở lên tại 02 đơn vị trở lên trong năm.</w:t>
      </w:r>
    </w:p>
    <w:p w:rsidR="004B7484" w:rsidRPr="009977BB" w:rsidRDefault="004B7484" w:rsidP="009977BB">
      <w:pPr>
        <w:pStyle w:val="ListParagraph"/>
        <w:numPr>
          <w:ilvl w:val="0"/>
          <w:numId w:val="1"/>
        </w:numPr>
        <w:shd w:val="clear" w:color="auto" w:fill="FFFFFF"/>
        <w:spacing w:before="150" w:after="0" w:line="240" w:lineRule="auto"/>
        <w:ind w:left="142" w:hanging="142"/>
        <w:jc w:val="both"/>
        <w:rPr>
          <w:rFonts w:ascii="Segoe UI" w:eastAsia="Times New Roman" w:hAnsi="Segoe UI" w:cs="Segoe UI"/>
          <w:color w:val="000000"/>
          <w:sz w:val="18"/>
          <w:szCs w:val="18"/>
        </w:rPr>
      </w:pPr>
      <w:r w:rsidRPr="009977BB">
        <w:rPr>
          <w:rFonts w:ascii="Segoe UI" w:eastAsia="Times New Roman" w:hAnsi="Segoe UI" w:cs="Segoe UI"/>
          <w:color w:val="000000"/>
          <w:sz w:val="21"/>
          <w:szCs w:val="21"/>
        </w:rPr>
        <w:t xml:space="preserve">Cá nhân trong năm có thu nhập từ tiền lương, tiền công ký hợp đồng lao động từ 03 tháng trở lên tại một tổ chức trả thu nhập nhưng thực tế không còn </w:t>
      </w:r>
      <w:r w:rsidR="009977BB">
        <w:rPr>
          <w:rFonts w:ascii="Segoe UI" w:eastAsia="Times New Roman" w:hAnsi="Segoe UI" w:cs="Segoe UI"/>
          <w:color w:val="000000"/>
          <w:sz w:val="21"/>
          <w:szCs w:val="21"/>
        </w:rPr>
        <w:t>làm việc tại đó đến hết năm quyết toán</w:t>
      </w:r>
      <w:r w:rsidRPr="009977BB">
        <w:rPr>
          <w:rFonts w:ascii="Segoe UI" w:eastAsia="Times New Roman" w:hAnsi="Segoe UI" w:cs="Segoe UI"/>
          <w:color w:val="000000"/>
          <w:sz w:val="21"/>
          <w:szCs w:val="21"/>
        </w:rPr>
        <w:t>.</w:t>
      </w:r>
    </w:p>
    <w:p w:rsidR="004B7484" w:rsidRPr="009977BB" w:rsidRDefault="004B7484" w:rsidP="009977BB">
      <w:pPr>
        <w:pStyle w:val="ListParagraph"/>
        <w:numPr>
          <w:ilvl w:val="0"/>
          <w:numId w:val="1"/>
        </w:numPr>
        <w:shd w:val="clear" w:color="auto" w:fill="FFFFFF"/>
        <w:spacing w:before="150" w:after="0" w:line="240" w:lineRule="auto"/>
        <w:ind w:left="142" w:hanging="142"/>
        <w:jc w:val="both"/>
        <w:rPr>
          <w:rFonts w:ascii="Segoe UI" w:eastAsia="Times New Roman" w:hAnsi="Segoe UI" w:cs="Segoe UI"/>
          <w:color w:val="000000"/>
          <w:sz w:val="18"/>
          <w:szCs w:val="18"/>
        </w:rPr>
      </w:pPr>
      <w:r w:rsidRPr="009977BB">
        <w:rPr>
          <w:rFonts w:ascii="Segoe UI" w:eastAsia="Times New Roman" w:hAnsi="Segoe UI" w:cs="Segoe UI"/>
          <w:color w:val="000000"/>
          <w:sz w:val="21"/>
          <w:szCs w:val="21"/>
        </w:rPr>
        <w:t>Cá nhân trong năm không ký hợp đồng lao động, hoặc ký hợp đồng lao động dưới 03 tháng.</w:t>
      </w:r>
    </w:p>
    <w:p w:rsidR="004B7484" w:rsidRPr="009977BB" w:rsidRDefault="004B7484" w:rsidP="009977BB">
      <w:pPr>
        <w:shd w:val="clear" w:color="auto" w:fill="FFFFFF"/>
        <w:spacing w:before="150" w:after="0" w:line="240" w:lineRule="auto"/>
        <w:jc w:val="both"/>
        <w:rPr>
          <w:rFonts w:ascii="Segoe UI" w:eastAsia="Times New Roman" w:hAnsi="Segoe UI" w:cs="Segoe UI"/>
          <w:b/>
          <w:bCs/>
          <w:color w:val="ED7D31" w:themeColor="accent2"/>
          <w:sz w:val="21"/>
          <w:szCs w:val="21"/>
        </w:rPr>
      </w:pPr>
      <w:r w:rsidRPr="009977BB">
        <w:rPr>
          <w:rFonts w:ascii="Segoe UI" w:eastAsia="Times New Roman" w:hAnsi="Segoe UI" w:cs="Segoe UI"/>
          <w:b/>
          <w:bCs/>
          <w:color w:val="ED7D31" w:themeColor="accent2"/>
          <w:sz w:val="21"/>
          <w:szCs w:val="21"/>
        </w:rPr>
        <w:t>2. Thời hạn</w:t>
      </w:r>
      <w:r w:rsidR="009977BB" w:rsidRPr="009977BB">
        <w:rPr>
          <w:rFonts w:ascii="Segoe UI" w:eastAsia="Times New Roman" w:hAnsi="Segoe UI" w:cs="Segoe UI"/>
          <w:b/>
          <w:bCs/>
          <w:color w:val="ED7D31" w:themeColor="accent2"/>
          <w:sz w:val="21"/>
          <w:szCs w:val="21"/>
        </w:rPr>
        <w:t xml:space="preserve"> nộp hồ sơ Quyết toán thuế thu nhập cá nhân</w:t>
      </w:r>
    </w:p>
    <w:p w:rsidR="009977BB" w:rsidRPr="009977BB" w:rsidRDefault="009977BB" w:rsidP="009977BB">
      <w:pPr>
        <w:shd w:val="clear" w:color="auto" w:fill="FFFFFF"/>
        <w:spacing w:before="150" w:after="0" w:line="240" w:lineRule="auto"/>
        <w:jc w:val="both"/>
        <w:rPr>
          <w:rFonts w:ascii="Segoe UI" w:eastAsia="Times New Roman" w:hAnsi="Segoe UI" w:cs="Segoe UI"/>
          <w:bCs/>
          <w:color w:val="000000"/>
          <w:sz w:val="21"/>
          <w:szCs w:val="21"/>
        </w:rPr>
      </w:pPr>
      <w:r w:rsidRPr="009977BB">
        <w:rPr>
          <w:rFonts w:ascii="Segoe UI" w:eastAsia="Times New Roman" w:hAnsi="Segoe UI" w:cs="Segoe UI"/>
          <w:bCs/>
          <w:color w:val="000000"/>
          <w:sz w:val="21"/>
          <w:szCs w:val="21"/>
        </w:rPr>
        <w:t>- Thời hạn nộp quyết toán  thuế TNCN chậm nhất là ngày 30/3 hàng năm.</w:t>
      </w:r>
    </w:p>
    <w:p w:rsidR="009977BB" w:rsidRPr="004B7484" w:rsidRDefault="009977BB"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Đối với trường hợp có số thuế nộp thừa đề nghị hoàn: Cá nhân </w:t>
      </w:r>
      <w:r w:rsidRPr="009977BB">
        <w:rPr>
          <w:rFonts w:ascii="Segoe UI" w:eastAsia="Times New Roman" w:hAnsi="Segoe UI" w:cs="Segoe UI"/>
          <w:b/>
          <w:bCs/>
          <w:i/>
          <w:iCs/>
          <w:color w:val="0000CC"/>
          <w:sz w:val="21"/>
          <w:szCs w:val="21"/>
        </w:rPr>
        <w:t>có thể nộp hồ sơ bất cứ thời điểm nào trong năm</w:t>
      </w:r>
      <w:r w:rsidRPr="004B7484">
        <w:rPr>
          <w:rFonts w:ascii="Segoe UI" w:eastAsia="Times New Roman" w:hAnsi="Segoe UI" w:cs="Segoe UI"/>
          <w:color w:val="000000"/>
          <w:sz w:val="21"/>
          <w:szCs w:val="21"/>
        </w:rPr>
        <w:t xml:space="preserve">. Do đó cá nhân nên tránh nộp hồ sơ vào khoảng thời gian cuối tháng 3 vì xảy ra tình trạng </w:t>
      </w:r>
      <w:r>
        <w:rPr>
          <w:rFonts w:ascii="Segoe UI" w:eastAsia="Times New Roman" w:hAnsi="Segoe UI" w:cs="Segoe UI"/>
          <w:color w:val="000000"/>
          <w:sz w:val="21"/>
          <w:szCs w:val="21"/>
        </w:rPr>
        <w:t>quá tải</w:t>
      </w:r>
      <w:r w:rsidRPr="004B7484">
        <w:rPr>
          <w:rFonts w:ascii="Segoe UI" w:eastAsia="Times New Roman" w:hAnsi="Segoe UI" w:cs="Segoe UI"/>
          <w:color w:val="000000"/>
          <w:sz w:val="21"/>
          <w:szCs w:val="21"/>
        </w:rPr>
        <w:t>.</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Đối với trường hợp có phát sinh thêm số thuế phải nộp: Thời hạ</w:t>
      </w:r>
      <w:r w:rsidR="009977BB">
        <w:rPr>
          <w:rFonts w:ascii="Segoe UI" w:eastAsia="Times New Roman" w:hAnsi="Segoe UI" w:cs="Segoe UI"/>
          <w:color w:val="000000"/>
          <w:sz w:val="21"/>
          <w:szCs w:val="21"/>
        </w:rPr>
        <w:t>n nộp hồ sơ chậm nhất là ngày 30/3 của năm sau năm quyết toán</w:t>
      </w:r>
      <w:r w:rsidRPr="004B7484">
        <w:rPr>
          <w:rFonts w:ascii="Segoe UI" w:eastAsia="Times New Roman" w:hAnsi="Segoe UI" w:cs="Segoe UI"/>
          <w:color w:val="000000"/>
          <w:sz w:val="21"/>
          <w:szCs w:val="21"/>
        </w:rPr>
        <w:t xml:space="preserve">. </w:t>
      </w:r>
      <w:r w:rsidR="009977BB">
        <w:rPr>
          <w:rFonts w:ascii="Segoe UI" w:eastAsia="Times New Roman" w:hAnsi="Segoe UI" w:cs="Segoe UI"/>
          <w:color w:val="000000"/>
          <w:sz w:val="21"/>
          <w:szCs w:val="21"/>
        </w:rPr>
        <w:t>Cá nhân lưu ý tránh nộp hồ sơ vào thời hạn cuối để tránh tình trạng quá tải, tắc nghẽn hồ sơ.</w:t>
      </w:r>
    </w:p>
    <w:p w:rsidR="004B7484" w:rsidRPr="004B7484" w:rsidRDefault="009977BB" w:rsidP="009977BB">
      <w:pPr>
        <w:shd w:val="clear" w:color="auto" w:fill="FFFFFF"/>
        <w:spacing w:before="150" w:after="0" w:line="240" w:lineRule="auto"/>
        <w:jc w:val="both"/>
        <w:rPr>
          <w:rFonts w:ascii="Segoe UI" w:eastAsia="Times New Roman" w:hAnsi="Segoe UI" w:cs="Segoe UI"/>
          <w:color w:val="ED7D31" w:themeColor="accent2"/>
          <w:sz w:val="18"/>
          <w:szCs w:val="18"/>
        </w:rPr>
      </w:pPr>
      <w:r w:rsidRPr="009977BB">
        <w:rPr>
          <w:rFonts w:ascii="Segoe UI" w:eastAsia="Times New Roman" w:hAnsi="Segoe UI" w:cs="Segoe UI"/>
          <w:b/>
          <w:bCs/>
          <w:color w:val="ED7D31" w:themeColor="accent2"/>
          <w:sz w:val="21"/>
          <w:szCs w:val="21"/>
        </w:rPr>
        <w:t>3</w:t>
      </w:r>
      <w:r w:rsidR="004B7484" w:rsidRPr="009977BB">
        <w:rPr>
          <w:rFonts w:ascii="Segoe UI" w:eastAsia="Times New Roman" w:hAnsi="Segoe UI" w:cs="Segoe UI"/>
          <w:b/>
          <w:bCs/>
          <w:color w:val="ED7D31" w:themeColor="accent2"/>
          <w:sz w:val="21"/>
          <w:szCs w:val="21"/>
        </w:rPr>
        <w:t xml:space="preserve">. Hồ sơ cá nhân tự quyết toán thuế </w:t>
      </w:r>
      <w:r w:rsidRPr="009977BB">
        <w:rPr>
          <w:rFonts w:ascii="Segoe UI" w:eastAsia="Times New Roman" w:hAnsi="Segoe UI" w:cs="Segoe UI"/>
          <w:b/>
          <w:bCs/>
          <w:color w:val="ED7D31" w:themeColor="accent2"/>
          <w:sz w:val="21"/>
          <w:szCs w:val="21"/>
        </w:rPr>
        <w:t>thu nhập cá nhân bao gồm:</w:t>
      </w:r>
    </w:p>
    <w:p w:rsidR="004B7484" w:rsidRDefault="004B7484" w:rsidP="009977BB">
      <w:pPr>
        <w:shd w:val="clear" w:color="auto" w:fill="FFFFFF"/>
        <w:spacing w:before="150" w:after="0" w:line="240" w:lineRule="auto"/>
        <w:jc w:val="both"/>
        <w:rPr>
          <w:rFonts w:ascii="Segoe UI" w:eastAsia="Times New Roman" w:hAnsi="Segoe UI" w:cs="Segoe UI"/>
          <w:color w:val="000000"/>
          <w:sz w:val="21"/>
          <w:szCs w:val="21"/>
        </w:rPr>
      </w:pPr>
      <w:r w:rsidRPr="004B7484">
        <w:rPr>
          <w:rFonts w:ascii="Segoe UI" w:eastAsia="Times New Roman" w:hAnsi="Segoe UI" w:cs="Segoe UI"/>
          <w:color w:val="000000"/>
          <w:sz w:val="21"/>
          <w:szCs w:val="21"/>
        </w:rPr>
        <w:t xml:space="preserve">- Tờ khai quyết toán thuế mẫu số 02/QTT-TNCN, Phụ lục mẫu số 02-1/BK-QTT-TNCN nếu có đăng ký người phụ thuộc (Mẫu </w:t>
      </w:r>
      <w:r w:rsidR="009977BB">
        <w:rPr>
          <w:rFonts w:ascii="Segoe UI" w:eastAsia="Times New Roman" w:hAnsi="Segoe UI" w:cs="Segoe UI"/>
          <w:color w:val="000000"/>
          <w:sz w:val="21"/>
          <w:szCs w:val="21"/>
        </w:rPr>
        <w:t xml:space="preserve">ban hành kèm </w:t>
      </w:r>
      <w:r w:rsidRPr="004B7484">
        <w:rPr>
          <w:rFonts w:ascii="Segoe UI" w:eastAsia="Times New Roman" w:hAnsi="Segoe UI" w:cs="Segoe UI"/>
          <w:color w:val="000000"/>
          <w:sz w:val="21"/>
          <w:szCs w:val="21"/>
        </w:rPr>
        <w:t>theo Thông tư số 92/2015/TT-BTC).</w:t>
      </w:r>
    </w:p>
    <w:p w:rsidR="009977BB" w:rsidRPr="004B7484" w:rsidRDefault="009977BB"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Bản chụp các hóa đơn chứng từ chứng minh khoản đóng góp vào quỹ từ thiện, quỹ nhân đạo, quỹ khuyến học (nếu có).</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Bản chụp các chứng từ chứng minh số thuế đã khấu trừ, đã tạm nộp trong năm, số thuế đã nộp ở nước ngoài (nếu có). Cá nhân cam kết chịu trách nhiệm về tính chính xác của các thông tin trên bản chụp đó.</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Trường hợp cá nhân nhận thu nhập từ các tổ chức Quốc tế, Đại sứ quán, Lãnh sự quán và nhận thu nhập từ nước ngoài phải có tài liệu chứng minh về số tiền đã trả của đơn vị, tổ chức trả thu nhập ở nước ngoài.</w:t>
      </w:r>
    </w:p>
    <w:p w:rsidR="004B7484" w:rsidRDefault="004B7484" w:rsidP="009977BB">
      <w:pPr>
        <w:shd w:val="clear" w:color="auto" w:fill="FFFFFF"/>
        <w:spacing w:before="150" w:after="0" w:line="240" w:lineRule="auto"/>
        <w:jc w:val="both"/>
        <w:rPr>
          <w:rFonts w:ascii="Segoe UI" w:eastAsia="Times New Roman" w:hAnsi="Segoe UI" w:cs="Segoe UI"/>
          <w:color w:val="000000"/>
          <w:sz w:val="21"/>
          <w:szCs w:val="21"/>
        </w:rPr>
      </w:pPr>
      <w:r w:rsidRPr="004B7484">
        <w:rPr>
          <w:rFonts w:ascii="Segoe UI" w:eastAsia="Times New Roman" w:hAnsi="Segoe UI" w:cs="Segoe UI"/>
          <w:color w:val="000000"/>
          <w:sz w:val="21"/>
          <w:szCs w:val="21"/>
        </w:rPr>
        <w:lastRenderedPageBreak/>
        <w:t>Hồ sơ Quyết toán th</w:t>
      </w:r>
      <w:r w:rsidR="009977BB">
        <w:rPr>
          <w:rFonts w:ascii="Segoe UI" w:eastAsia="Times New Roman" w:hAnsi="Segoe UI" w:cs="Segoe UI"/>
          <w:color w:val="000000"/>
          <w:sz w:val="21"/>
          <w:szCs w:val="21"/>
        </w:rPr>
        <w:t>uế TNCN bao gồm File dữ liệu quyết toán thuế</w:t>
      </w:r>
      <w:r w:rsidRPr="004B7484">
        <w:rPr>
          <w:rFonts w:ascii="Segoe UI" w:eastAsia="Times New Roman" w:hAnsi="Segoe UI" w:cs="Segoe UI"/>
          <w:color w:val="000000"/>
          <w:sz w:val="21"/>
          <w:szCs w:val="21"/>
        </w:rPr>
        <w:t xml:space="preserve"> </w:t>
      </w:r>
      <w:r w:rsidR="009977BB">
        <w:rPr>
          <w:rFonts w:ascii="Segoe UI" w:eastAsia="Times New Roman" w:hAnsi="Segoe UI" w:cs="Segoe UI"/>
          <w:color w:val="000000"/>
          <w:sz w:val="21"/>
          <w:szCs w:val="21"/>
        </w:rPr>
        <w:t xml:space="preserve">nộp qua hệ thống thuedientu.gdt.gov.vn </w:t>
      </w:r>
      <w:r w:rsidRPr="004B7484">
        <w:rPr>
          <w:rFonts w:ascii="Segoe UI" w:eastAsia="Times New Roman" w:hAnsi="Segoe UI" w:cs="Segoe UI"/>
          <w:color w:val="000000"/>
          <w:sz w:val="21"/>
          <w:szCs w:val="21"/>
        </w:rPr>
        <w:t xml:space="preserve">và Hồ sơ </w:t>
      </w:r>
      <w:r w:rsidR="009977BB">
        <w:rPr>
          <w:rFonts w:ascii="Segoe UI" w:eastAsia="Times New Roman" w:hAnsi="Segoe UI" w:cs="Segoe UI"/>
          <w:color w:val="000000"/>
          <w:sz w:val="21"/>
          <w:szCs w:val="21"/>
        </w:rPr>
        <w:t>quyết toán thuế</w:t>
      </w:r>
      <w:r w:rsidRPr="004B7484">
        <w:rPr>
          <w:rFonts w:ascii="Segoe UI" w:eastAsia="Times New Roman" w:hAnsi="Segoe UI" w:cs="Segoe UI"/>
          <w:color w:val="000000"/>
          <w:sz w:val="21"/>
          <w:szCs w:val="21"/>
        </w:rPr>
        <w:t xml:space="preserve"> bản giấy có ký tên</w:t>
      </w:r>
      <w:r w:rsidR="009977BB">
        <w:rPr>
          <w:rFonts w:ascii="Segoe UI" w:eastAsia="Times New Roman" w:hAnsi="Segoe UI" w:cs="Segoe UI"/>
          <w:color w:val="000000"/>
          <w:sz w:val="21"/>
          <w:szCs w:val="21"/>
        </w:rPr>
        <w:t xml:space="preserve"> nộp trực tiếp tại cơ quan thuế theo thầm quyền</w:t>
      </w:r>
      <w:r w:rsidRPr="004B7484">
        <w:rPr>
          <w:rFonts w:ascii="Segoe UI" w:eastAsia="Times New Roman" w:hAnsi="Segoe UI" w:cs="Segoe UI"/>
          <w:color w:val="000000"/>
          <w:sz w:val="21"/>
          <w:szCs w:val="21"/>
        </w:rPr>
        <w:t>.</w:t>
      </w:r>
    </w:p>
    <w:p w:rsidR="009977BB" w:rsidRPr="004B7484" w:rsidRDefault="009977BB" w:rsidP="009977BB">
      <w:pPr>
        <w:shd w:val="clear" w:color="auto" w:fill="FFFFFF"/>
        <w:spacing w:before="150" w:after="0" w:line="240" w:lineRule="auto"/>
        <w:jc w:val="both"/>
        <w:rPr>
          <w:rFonts w:ascii="Segoe UI" w:eastAsia="Times New Roman" w:hAnsi="Segoe UI" w:cs="Segoe UI"/>
          <w:color w:val="ED7D31" w:themeColor="accent2"/>
          <w:sz w:val="18"/>
          <w:szCs w:val="18"/>
        </w:rPr>
      </w:pPr>
      <w:r w:rsidRPr="009977BB">
        <w:rPr>
          <w:rFonts w:ascii="Segoe UI" w:eastAsia="Times New Roman" w:hAnsi="Segoe UI" w:cs="Segoe UI"/>
          <w:b/>
          <w:bCs/>
          <w:color w:val="ED7D31" w:themeColor="accent2"/>
          <w:sz w:val="21"/>
          <w:szCs w:val="21"/>
        </w:rPr>
        <w:t>4. Trường hợp cá nhân không có chứng từ khấu trừ thuế thu nhập cá nhân</w:t>
      </w:r>
    </w:p>
    <w:p w:rsidR="009977BB" w:rsidRPr="004B7484" w:rsidRDefault="009977BB"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Trường hợp tổ chức trả thu nhập không cấp chứng từ khấu trừ thuế cho cá nhân do tổ chức đã chấm dứt hoạt động thì cơ quan Thuế sẽ xem xét xử lý hồ sơ mà không bắt buộc phải có chứng từ khấu trừ thuế.</w:t>
      </w:r>
    </w:p>
    <w:p w:rsidR="009977BB" w:rsidRPr="004B7484" w:rsidRDefault="009977BB"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Trường hợp, theo quy định của luật pháp nước ngoài, cơ quan Thuế nước ngoài không cấp giấy xác nhận số thuế đã nộp, người nộp thuế có thể nộp bản chụp Giấy chứng nhận khấu trừ thuế (ghi rõ đã nộp thuế theo tờ khai thuế thu nhập nào) do cơ quan trả thu nhập cấp hoặc bản chụp chứng từ ngân hàng đối với số thuế đã nộp ở nước ngoài có xác nhận của người nộp thuế.</w:t>
      </w:r>
    </w:p>
    <w:p w:rsidR="009977BB" w:rsidRPr="004B7484" w:rsidRDefault="009977BB"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Trường hợp người nộp thuế bị mất chứng từ khấu trừ thuế (liên giao cho người nộp thuế) thì người nộp thuế có thể sử dụng bản chụp chứng từ khấu trừ thuế (liên lưu tại tổ chức chi trả thu nhập).</w:t>
      </w:r>
    </w:p>
    <w:p w:rsidR="009977BB" w:rsidRPr="004B7484" w:rsidRDefault="009977BB" w:rsidP="009977BB">
      <w:pPr>
        <w:shd w:val="clear" w:color="auto" w:fill="FFFFFF"/>
        <w:spacing w:before="150" w:after="0" w:line="240" w:lineRule="auto"/>
        <w:jc w:val="both"/>
        <w:rPr>
          <w:rFonts w:ascii="Segoe UI" w:eastAsia="Times New Roman" w:hAnsi="Segoe UI" w:cs="Segoe UI"/>
          <w:color w:val="000000"/>
          <w:sz w:val="18"/>
          <w:szCs w:val="18"/>
        </w:rPr>
      </w:pPr>
    </w:p>
    <w:p w:rsidR="004B7484" w:rsidRPr="004B7484" w:rsidRDefault="004B7484" w:rsidP="009977BB">
      <w:pPr>
        <w:shd w:val="clear" w:color="auto" w:fill="FFFFFF"/>
        <w:spacing w:before="150" w:after="0" w:line="240" w:lineRule="auto"/>
        <w:jc w:val="both"/>
        <w:rPr>
          <w:rFonts w:ascii="Segoe UI" w:eastAsia="Times New Roman" w:hAnsi="Segoe UI" w:cs="Segoe UI"/>
          <w:color w:val="ED7D31" w:themeColor="accent2"/>
          <w:sz w:val="18"/>
          <w:szCs w:val="18"/>
        </w:rPr>
      </w:pPr>
      <w:r w:rsidRPr="009977BB">
        <w:rPr>
          <w:rFonts w:ascii="Segoe UI" w:eastAsia="Times New Roman" w:hAnsi="Segoe UI" w:cs="Segoe UI"/>
          <w:b/>
          <w:bCs/>
          <w:color w:val="ED7D31" w:themeColor="accent2"/>
          <w:sz w:val="21"/>
          <w:szCs w:val="21"/>
        </w:rPr>
        <w:t xml:space="preserve">5. Các bước nộp hồ sơ quyết toán thuế </w:t>
      </w:r>
      <w:r w:rsidR="009977BB" w:rsidRPr="009977BB">
        <w:rPr>
          <w:rFonts w:ascii="Segoe UI" w:eastAsia="Times New Roman" w:hAnsi="Segoe UI" w:cs="Segoe UI"/>
          <w:b/>
          <w:bCs/>
          <w:color w:val="ED7D31" w:themeColor="accent2"/>
          <w:sz w:val="21"/>
          <w:szCs w:val="21"/>
        </w:rPr>
        <w:t>thu nhập cá nhân</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B1: Truy cập trang web </w:t>
      </w:r>
      <w:r w:rsidR="009977BB">
        <w:rPr>
          <w:rFonts w:ascii="Segoe UI" w:eastAsia="Times New Roman" w:hAnsi="Segoe UI" w:cs="Segoe UI"/>
          <w:color w:val="000000"/>
          <w:sz w:val="21"/>
          <w:szCs w:val="21"/>
        </w:rPr>
        <w:t>của Tổng cục thuế để tài phần mềm hỗ trợ kê khai HTKK</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B2: Nhập dữ liệu vào tờ khai quyết toán thuế mẫu số</w:t>
      </w:r>
      <w:hyperlink r:id="rId8" w:tgtFrame="_blank" w:history="1">
        <w:r w:rsidRPr="004B7484">
          <w:rPr>
            <w:rFonts w:ascii="Segoe UI" w:eastAsia="Times New Roman" w:hAnsi="Segoe UI" w:cs="Segoe UI"/>
            <w:color w:val="323232"/>
            <w:sz w:val="21"/>
            <w:szCs w:val="21"/>
            <w:u w:val="single"/>
          </w:rPr>
          <w:t> 02/QTT-TNCN</w:t>
        </w:r>
      </w:hyperlink>
      <w:r w:rsidRPr="004B7484">
        <w:rPr>
          <w:rFonts w:ascii="Segoe UI" w:eastAsia="Times New Roman" w:hAnsi="Segoe UI" w:cs="Segoe UI"/>
          <w:color w:val="000000"/>
          <w:sz w:val="21"/>
          <w:szCs w:val="21"/>
        </w:rPr>
        <w:t>, Phụ lục mẫu số 02-1/BK-QTT-TNCN Thông tư số 92/2015/TT-BTC trên ứng dụng hoặc phần mềm.</w:t>
      </w:r>
    </w:p>
    <w:p w:rsidR="004B7484" w:rsidRPr="004B7484" w:rsidRDefault="009977BB" w:rsidP="009977BB">
      <w:pPr>
        <w:shd w:val="clear" w:color="auto" w:fill="FFFFFF"/>
        <w:spacing w:before="150" w:after="0" w:line="240" w:lineRule="auto"/>
        <w:jc w:val="both"/>
        <w:rPr>
          <w:rFonts w:ascii="Segoe UI" w:eastAsia="Times New Roman" w:hAnsi="Segoe UI" w:cs="Segoe UI"/>
          <w:color w:val="000000"/>
          <w:sz w:val="18"/>
          <w:szCs w:val="18"/>
        </w:rPr>
      </w:pPr>
      <w:r>
        <w:rPr>
          <w:rFonts w:ascii="Segoe UI" w:eastAsia="Times New Roman" w:hAnsi="Segoe UI" w:cs="Segoe UI"/>
          <w:color w:val="000000"/>
          <w:sz w:val="21"/>
          <w:szCs w:val="21"/>
        </w:rPr>
        <w:t xml:space="preserve">- </w:t>
      </w:r>
      <w:r w:rsidR="004B7484" w:rsidRPr="004B7484">
        <w:rPr>
          <w:rFonts w:ascii="Segoe UI" w:eastAsia="Times New Roman" w:hAnsi="Segoe UI" w:cs="Segoe UI"/>
          <w:color w:val="000000"/>
          <w:sz w:val="21"/>
          <w:szCs w:val="21"/>
        </w:rPr>
        <w:t xml:space="preserve">B3: Sau khi </w:t>
      </w:r>
      <w:r>
        <w:rPr>
          <w:rFonts w:ascii="Segoe UI" w:eastAsia="Times New Roman" w:hAnsi="Segoe UI" w:cs="Segoe UI"/>
          <w:color w:val="000000"/>
          <w:sz w:val="21"/>
          <w:szCs w:val="21"/>
        </w:rPr>
        <w:t>nhập số liệu trên HTKK</w:t>
      </w:r>
      <w:r w:rsidR="004B7484" w:rsidRPr="004B7484">
        <w:rPr>
          <w:rFonts w:ascii="Segoe UI" w:eastAsia="Times New Roman" w:hAnsi="Segoe UI" w:cs="Segoe UI"/>
          <w:color w:val="000000"/>
          <w:sz w:val="21"/>
          <w:szCs w:val="21"/>
        </w:rPr>
        <w:t>, kết xuất dữ li</w:t>
      </w:r>
      <w:r>
        <w:rPr>
          <w:rFonts w:ascii="Segoe UI" w:eastAsia="Times New Roman" w:hAnsi="Segoe UI" w:cs="Segoe UI"/>
          <w:color w:val="000000"/>
          <w:sz w:val="21"/>
          <w:szCs w:val="21"/>
        </w:rPr>
        <w:t xml:space="preserve">ệu ra file xml để gửi qua trang </w:t>
      </w:r>
      <w:r w:rsidR="004B7484" w:rsidRPr="004B7484">
        <w:rPr>
          <w:rFonts w:ascii="Segoe UI" w:eastAsia="Times New Roman" w:hAnsi="Segoe UI" w:cs="Segoe UI"/>
          <w:color w:val="000000"/>
          <w:sz w:val="21"/>
          <w:szCs w:val="21"/>
        </w:rPr>
        <w:t>web </w:t>
      </w:r>
      <w:hyperlink r:id="rId9" w:tgtFrame="_blank" w:history="1">
        <w:r w:rsidR="004B7484" w:rsidRPr="004B7484">
          <w:rPr>
            <w:rFonts w:ascii="Segoe UI" w:eastAsia="Times New Roman" w:hAnsi="Segoe UI" w:cs="Segoe UI"/>
            <w:color w:val="000000"/>
            <w:sz w:val="21"/>
            <w:szCs w:val="21"/>
            <w:u w:val="single"/>
          </w:rPr>
          <w:t>www.tncnonline.com.vn</w:t>
        </w:r>
      </w:hyperlink>
      <w:r w:rsidR="004B7484" w:rsidRPr="004B7484">
        <w:rPr>
          <w:rFonts w:ascii="Segoe UI" w:eastAsia="Times New Roman" w:hAnsi="Segoe UI" w:cs="Segoe UI"/>
          <w:color w:val="000000"/>
          <w:sz w:val="21"/>
          <w:szCs w:val="21"/>
        </w:rPr>
        <w:t> hoặc kết xuất file xml</w:t>
      </w:r>
      <w:r>
        <w:rPr>
          <w:rFonts w:ascii="Segoe UI" w:eastAsia="Times New Roman" w:hAnsi="Segoe UI" w:cs="Segoe UI"/>
          <w:color w:val="000000"/>
          <w:sz w:val="21"/>
          <w:szCs w:val="21"/>
        </w:rPr>
        <w:t xml:space="preserve"> ký</w:t>
      </w:r>
      <w:r w:rsidR="004B7484" w:rsidRPr="004B7484">
        <w:rPr>
          <w:rFonts w:ascii="Segoe UI" w:eastAsia="Times New Roman" w:hAnsi="Segoe UI" w:cs="Segoe UI"/>
          <w:color w:val="000000"/>
          <w:sz w:val="21"/>
          <w:szCs w:val="21"/>
        </w:rPr>
        <w:t xml:space="preserve"> và gửi trực tiếp tại Bộ phận một cửa cơ quan Thuế.</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B4: In tờ khai và phụ lục, ký tên nộp kèm với hồ sơ chứng từ bản giấy tại cơ quan Thuế. File dữ liệu phải gửi đến trước hoặc đồng thời với bản giấy.</w:t>
      </w:r>
    </w:p>
    <w:p w:rsidR="004B7484" w:rsidRPr="004B7484" w:rsidRDefault="004B7484" w:rsidP="009977BB">
      <w:pPr>
        <w:shd w:val="clear" w:color="auto" w:fill="FFFFFF"/>
        <w:spacing w:before="150" w:after="0" w:line="240" w:lineRule="auto"/>
        <w:jc w:val="both"/>
        <w:rPr>
          <w:rFonts w:ascii="Segoe UI" w:eastAsia="Times New Roman" w:hAnsi="Segoe UI" w:cs="Segoe UI"/>
          <w:color w:val="ED7D31" w:themeColor="accent2"/>
          <w:sz w:val="18"/>
          <w:szCs w:val="18"/>
        </w:rPr>
      </w:pPr>
      <w:r w:rsidRPr="009977BB">
        <w:rPr>
          <w:rFonts w:ascii="Segoe UI" w:eastAsia="Times New Roman" w:hAnsi="Segoe UI" w:cs="Segoe UI"/>
          <w:b/>
          <w:bCs/>
          <w:color w:val="ED7D31" w:themeColor="accent2"/>
          <w:sz w:val="21"/>
          <w:szCs w:val="21"/>
        </w:rPr>
        <w:t>6. Nơi nộp hồ sơ quyết toán thuế TNCN</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Nộp tại cơ quan Thuế quản lý tổ chức trả thu nhập (Cục thuế hoặc Chi cục thuế):</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Trường hợp cá nhân có thu nhập từ tiền lương, tiền công thuộc diện tự quyết toán đã tính giảm trừ gia cảnh cho bản thân tại tổ chức trả thu nhập nào và vẫn đang làm việc tạ</w:t>
      </w:r>
      <w:r w:rsidR="009977BB">
        <w:rPr>
          <w:rFonts w:ascii="Segoe UI" w:eastAsia="Times New Roman" w:hAnsi="Segoe UI" w:cs="Segoe UI"/>
          <w:color w:val="000000"/>
          <w:sz w:val="21"/>
          <w:szCs w:val="21"/>
        </w:rPr>
        <w:t>i đó vào thời điểm cuối năm quyết toán</w:t>
      </w:r>
      <w:r w:rsidRPr="004B7484">
        <w:rPr>
          <w:rFonts w:ascii="Segoe UI" w:eastAsia="Times New Roman" w:hAnsi="Segoe UI" w:cs="Segoe UI"/>
          <w:color w:val="000000"/>
          <w:sz w:val="21"/>
          <w:szCs w:val="21"/>
        </w:rPr>
        <w:t xml:space="preserve"> thì nộp hồ sơ quyết toán tại cơ quan Thuế trực tiếp quản lý tổ chức trả thu nhập đó.</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Trường hợp cá nhân trong năm có thay đổi nơi làm việc và tại tổ chức trả thu nhập cuối cùng (vẫn đang làm tại thời điểm quyết toán) có tính giảm trừ gia cảnh cho bản thân thì nộp hồ sơ tại cơ quan Thuế quản lý tổ chức trả thu nhập cuối cùng.</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Trường hợp cá nhân có thu nhập từ tiền lương, tiền công trực tiếp khai thuế với cơ quan Thuế thì nộp hồ sơ quyết toán thuế tại Cục Thuế nơi cá nhân đã nộp hồ sơ khai thuế trong năm.</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Nộp tại Chi cục Thuế nơi cá nhân cư trú (nơi đăng ký thường trú hoặc tạm trú):</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Cá nhân chưa tính giảm trừ gia cảnh cho bản thân ở bất kỳ tổ chức trả thu nhập nào;</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lastRenderedPageBreak/>
        <w:t>+ Cá nhân không ký hợp đồng lao động, hoặc ký hợp đồng lao động dưới 03 tháng, hoặc ký hợp đồng cung cấp dịch vụ có thu nhập tại một nơi hoặc nhiều nơi đã khấu trừ 10%;</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Cá nhân trong năm có thu nhập từ tiền lương, tiền công tại một nơi hoặc nhiều nơi nhưng tại thời điểm quyết toán không làm việc tại tổ chức trả thu nhập nào;</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Cá nhân trong năm có thay đổi nơi làm việc và tại tổ chức trả thu nhập cuối cùng không tính giảm trừ gia cảnh cho bản thân;</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Trường hợp cá nhân cư trú tại nhiều nơi và thuộc diện quyết toán thuế tại cơ quan Thuế nơi cá nhân cư trú thì cá nhân được lựa chọn một nơi cư trú để quyết toán thuế.</w:t>
      </w:r>
    </w:p>
    <w:p w:rsidR="004B7484" w:rsidRPr="004B7484" w:rsidRDefault="004B7484" w:rsidP="009977BB">
      <w:pPr>
        <w:shd w:val="clear" w:color="auto" w:fill="FFFFFF"/>
        <w:spacing w:before="150" w:after="0" w:line="240" w:lineRule="auto"/>
        <w:jc w:val="both"/>
        <w:rPr>
          <w:rFonts w:ascii="Segoe UI" w:eastAsia="Times New Roman" w:hAnsi="Segoe UI" w:cs="Segoe UI"/>
          <w:color w:val="ED7D31" w:themeColor="accent2"/>
          <w:sz w:val="18"/>
          <w:szCs w:val="18"/>
        </w:rPr>
      </w:pPr>
      <w:r w:rsidRPr="009977BB">
        <w:rPr>
          <w:rFonts w:ascii="Segoe UI" w:eastAsia="Times New Roman" w:hAnsi="Segoe UI" w:cs="Segoe UI"/>
          <w:b/>
          <w:bCs/>
          <w:color w:val="ED7D31" w:themeColor="accent2"/>
          <w:sz w:val="21"/>
          <w:szCs w:val="21"/>
        </w:rPr>
        <w:t>7. Quyết toán thuế trong trường hợp thay đổi nơi làm việc trong năm</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Trong năm, cá nhân có sự thay đổi cơ quan làm việc trong các trường hợp sau vẫn được ủy quyền quyết toán tổ chức mới gồm:</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Tổ chức lại doanh nghiệp (chia, tách, hợp nhất, sáp nhập, chuyển đổi) và người lao động được điều chuyển từ tổ chức cũ đến tổ chức mới (tổ chức được hình thành sau khi tổ chức lại doanh nghiệp), nếu trong năm người lao động không có thêm thu nhập từ tiền lương, tiền công tại một nơi nào khác.</w:t>
      </w:r>
    </w:p>
    <w:p w:rsidR="004B7484" w:rsidRPr="004B7484" w:rsidRDefault="004B7484" w:rsidP="009977BB">
      <w:pPr>
        <w:shd w:val="clear" w:color="auto" w:fill="FFFFFF"/>
        <w:spacing w:before="150" w:after="0" w:line="240" w:lineRule="auto"/>
        <w:jc w:val="both"/>
        <w:rPr>
          <w:rFonts w:ascii="Segoe UI" w:eastAsia="Times New Roman" w:hAnsi="Segoe UI" w:cs="Segoe UI"/>
          <w:color w:val="000000"/>
          <w:sz w:val="18"/>
          <w:szCs w:val="18"/>
        </w:rPr>
      </w:pPr>
      <w:r w:rsidRPr="004B7484">
        <w:rPr>
          <w:rFonts w:ascii="Segoe UI" w:eastAsia="Times New Roman" w:hAnsi="Segoe UI" w:cs="Segoe UI"/>
          <w:color w:val="000000"/>
          <w:sz w:val="21"/>
          <w:szCs w:val="21"/>
        </w:rPr>
        <w:t>-  Trường hợp điều chuyển người lao động giữa các tổ chức trong cùng một hệ thống như: Tập đoàn, Tổng công ty, Công ty mẹ - con, Trụ sở chính và chi nhánh thì cũng được ủy quyền quyết toán thuế.</w:t>
      </w:r>
    </w:p>
    <w:p w:rsidR="004B7484" w:rsidRDefault="004B7484" w:rsidP="009977BB">
      <w:pPr>
        <w:shd w:val="clear" w:color="auto" w:fill="FFFFFF"/>
        <w:spacing w:before="150" w:after="0" w:line="240" w:lineRule="auto"/>
        <w:jc w:val="both"/>
        <w:rPr>
          <w:rFonts w:ascii="Segoe UI" w:eastAsia="Times New Roman" w:hAnsi="Segoe UI" w:cs="Segoe UI"/>
          <w:color w:val="000000"/>
          <w:sz w:val="21"/>
          <w:szCs w:val="21"/>
        </w:rPr>
      </w:pPr>
      <w:r w:rsidRPr="004B7484">
        <w:rPr>
          <w:rFonts w:ascii="Segoe UI" w:eastAsia="Times New Roman" w:hAnsi="Segoe UI" w:cs="Segoe UI"/>
          <w:color w:val="000000"/>
          <w:sz w:val="21"/>
          <w:szCs w:val="21"/>
        </w:rPr>
        <w:t>Trường hợp cá nhân trong năm làm ở 2 cơ quan khác nhau </w:t>
      </w:r>
      <w:r w:rsidRPr="009977BB">
        <w:rPr>
          <w:rFonts w:ascii="Segoe UI" w:eastAsia="Times New Roman" w:hAnsi="Segoe UI" w:cs="Segoe UI"/>
          <w:b/>
          <w:bCs/>
          <w:color w:val="0000CC"/>
          <w:sz w:val="21"/>
          <w:szCs w:val="21"/>
        </w:rPr>
        <w:t>không thuộc 2 trường hợp</w:t>
      </w:r>
      <w:r w:rsidRPr="004B7484">
        <w:rPr>
          <w:rFonts w:ascii="Segoe UI" w:eastAsia="Times New Roman" w:hAnsi="Segoe UI" w:cs="Segoe UI"/>
          <w:color w:val="0000CC"/>
          <w:sz w:val="21"/>
          <w:szCs w:val="21"/>
        </w:rPr>
        <w:t> </w:t>
      </w:r>
      <w:r w:rsidRPr="004B7484">
        <w:rPr>
          <w:rFonts w:ascii="Segoe UI" w:eastAsia="Times New Roman" w:hAnsi="Segoe UI" w:cs="Segoe UI"/>
          <w:color w:val="000000"/>
          <w:sz w:val="21"/>
          <w:szCs w:val="21"/>
        </w:rPr>
        <w:t>nêu trên thì phải tự thực hiện quyết toán với cơ quan Thuế.</w:t>
      </w:r>
    </w:p>
    <w:p w:rsidR="00F775EE" w:rsidRDefault="00F775EE" w:rsidP="009977BB">
      <w:pPr>
        <w:shd w:val="clear" w:color="auto" w:fill="FFFFFF"/>
        <w:spacing w:before="150" w:after="0" w:line="240" w:lineRule="auto"/>
        <w:jc w:val="both"/>
        <w:rPr>
          <w:rFonts w:ascii="Segoe UI" w:eastAsia="Times New Roman" w:hAnsi="Segoe UI" w:cs="Segoe UI"/>
          <w:color w:val="000000"/>
          <w:sz w:val="21"/>
          <w:szCs w:val="21"/>
        </w:rPr>
      </w:pPr>
      <w:r>
        <w:rPr>
          <w:rFonts w:ascii="Segoe UI" w:eastAsia="Times New Roman" w:hAnsi="Segoe UI" w:cs="Segoe UI"/>
          <w:color w:val="000000"/>
          <w:sz w:val="21"/>
          <w:szCs w:val="21"/>
        </w:rPr>
        <w:t xml:space="preserve">Trên đây là những hướng dẫn cơ bản về đối tượng, trình tự, thủ tục quyết toán thuế thu nhập cá nhân do cá nhân tự quyết toán với cơ quan thuế. Trường hợp vướng mắc xin vui lòng liên hệ </w:t>
      </w:r>
      <w:r w:rsidRPr="00F775EE">
        <w:rPr>
          <w:rFonts w:ascii="Segoe UI" w:eastAsia="Times New Roman" w:hAnsi="Segoe UI" w:cs="Segoe UI"/>
          <w:b/>
          <w:color w:val="0000CC"/>
          <w:sz w:val="21"/>
          <w:szCs w:val="21"/>
        </w:rPr>
        <w:t>Kế toán Office360</w:t>
      </w:r>
      <w:r>
        <w:rPr>
          <w:rFonts w:ascii="Segoe UI" w:eastAsia="Times New Roman" w:hAnsi="Segoe UI" w:cs="Segoe UI"/>
          <w:color w:val="000000"/>
          <w:sz w:val="21"/>
          <w:szCs w:val="21"/>
        </w:rPr>
        <w:t xml:space="preserve"> để được hướng dẫn thêm.</w:t>
      </w:r>
    </w:p>
    <w:p w:rsidR="00F775EE" w:rsidRPr="00F775EE" w:rsidRDefault="00F775EE" w:rsidP="009977BB">
      <w:pPr>
        <w:shd w:val="clear" w:color="auto" w:fill="FFFFFF"/>
        <w:spacing w:before="150" w:after="0" w:line="240" w:lineRule="auto"/>
        <w:jc w:val="both"/>
        <w:rPr>
          <w:rFonts w:ascii="Segoe UI" w:eastAsia="Times New Roman" w:hAnsi="Segoe UI" w:cs="Segoe UI"/>
          <w:b/>
          <w:color w:val="0000CC"/>
          <w:sz w:val="21"/>
          <w:szCs w:val="21"/>
        </w:rPr>
      </w:pPr>
      <w:r w:rsidRPr="00F775EE">
        <w:rPr>
          <w:rFonts w:ascii="Segoe UI" w:eastAsia="Times New Roman" w:hAnsi="Segoe UI" w:cs="Segoe UI"/>
          <w:b/>
          <w:color w:val="0000CC"/>
          <w:sz w:val="21"/>
          <w:szCs w:val="21"/>
        </w:rPr>
        <w:t>Tài liệu tham khảo:</w:t>
      </w:r>
    </w:p>
    <w:p w:rsidR="004B7484" w:rsidRDefault="007B53A0" w:rsidP="004B7484">
      <w:pPr>
        <w:shd w:val="clear" w:color="auto" w:fill="FFFFFF"/>
        <w:spacing w:before="180" w:after="0" w:line="240" w:lineRule="auto"/>
        <w:outlineLvl w:val="0"/>
      </w:pPr>
      <w:hyperlink r:id="rId10" w:history="1">
        <w:r w:rsidR="00F775EE">
          <w:rPr>
            <w:rStyle w:val="Hyperlink"/>
            <w:rFonts w:ascii="Arial" w:hAnsi="Arial" w:cs="Arial"/>
            <w:color w:val="00B1E1"/>
            <w:spacing w:val="2"/>
            <w:sz w:val="21"/>
            <w:szCs w:val="21"/>
            <w:shd w:val="clear" w:color="auto" w:fill="F9F9F9"/>
          </w:rPr>
          <w:t>Luật thuế thu nhập cá nhân sửa đổi 2012</w:t>
        </w:r>
      </w:hyperlink>
    </w:p>
    <w:p w:rsidR="00F775EE" w:rsidRDefault="00F775EE" w:rsidP="004B7484">
      <w:pPr>
        <w:shd w:val="clear" w:color="auto" w:fill="FFFFFF"/>
        <w:spacing w:before="180" w:after="0" w:line="240" w:lineRule="auto"/>
        <w:outlineLvl w:val="0"/>
      </w:pPr>
      <w:r>
        <w:rPr>
          <w:rFonts w:ascii="Arial" w:hAnsi="Arial" w:cs="Arial"/>
          <w:color w:val="333333"/>
          <w:spacing w:val="2"/>
          <w:sz w:val="21"/>
          <w:szCs w:val="21"/>
          <w:shd w:val="clear" w:color="auto" w:fill="F9F9F9"/>
        </w:rPr>
        <w:t> </w:t>
      </w:r>
      <w:hyperlink r:id="rId11" w:history="1">
        <w:r>
          <w:rPr>
            <w:rStyle w:val="Hyperlink"/>
            <w:rFonts w:ascii="Arial" w:hAnsi="Arial" w:cs="Arial"/>
            <w:color w:val="00B1E1"/>
            <w:spacing w:val="2"/>
            <w:sz w:val="21"/>
            <w:szCs w:val="21"/>
            <w:shd w:val="clear" w:color="auto" w:fill="F9F9F9"/>
          </w:rPr>
          <w:t>111/2013/TT-BTC</w:t>
        </w:r>
      </w:hyperlink>
    </w:p>
    <w:p w:rsidR="00F775EE" w:rsidRDefault="007B53A0" w:rsidP="004B7484">
      <w:pPr>
        <w:shd w:val="clear" w:color="auto" w:fill="FFFFFF"/>
        <w:spacing w:before="180" w:after="0" w:line="240" w:lineRule="auto"/>
        <w:outlineLvl w:val="0"/>
      </w:pPr>
      <w:hyperlink r:id="rId12" w:history="1">
        <w:r w:rsidR="00F775EE">
          <w:rPr>
            <w:rStyle w:val="Hyperlink"/>
            <w:rFonts w:ascii="Arial" w:hAnsi="Arial" w:cs="Arial"/>
            <w:color w:val="00B1E1"/>
            <w:spacing w:val="2"/>
            <w:sz w:val="21"/>
            <w:szCs w:val="21"/>
            <w:shd w:val="clear" w:color="auto" w:fill="F9F9F9"/>
          </w:rPr>
          <w:t>92/2015/TT-BTC</w:t>
        </w:r>
      </w:hyperlink>
    </w:p>
    <w:p w:rsidR="00F775EE" w:rsidRDefault="00F775EE" w:rsidP="004B7484">
      <w:pPr>
        <w:shd w:val="clear" w:color="auto" w:fill="FFFFFF"/>
        <w:spacing w:before="180" w:after="0" w:line="240" w:lineRule="auto"/>
        <w:outlineLvl w:val="0"/>
      </w:pPr>
      <w:r>
        <w:rPr>
          <w:rFonts w:ascii="Arial" w:hAnsi="Arial" w:cs="Arial"/>
          <w:color w:val="333333"/>
          <w:spacing w:val="2"/>
          <w:sz w:val="21"/>
          <w:szCs w:val="21"/>
          <w:shd w:val="clear" w:color="auto" w:fill="F9F9F9"/>
        </w:rPr>
        <w:t> </w:t>
      </w:r>
      <w:hyperlink r:id="rId13" w:history="1">
        <w:r>
          <w:rPr>
            <w:rStyle w:val="Hyperlink"/>
            <w:rFonts w:ascii="Arial" w:hAnsi="Arial" w:cs="Arial"/>
            <w:color w:val="009DC8"/>
            <w:spacing w:val="2"/>
            <w:sz w:val="21"/>
            <w:szCs w:val="21"/>
            <w:shd w:val="clear" w:color="auto" w:fill="F9F9F9"/>
          </w:rPr>
          <w:t>151/2014/TT-BTC</w:t>
        </w:r>
      </w:hyperlink>
    </w:p>
    <w:p w:rsidR="00F775EE" w:rsidRDefault="00F775EE" w:rsidP="004B7484">
      <w:pPr>
        <w:shd w:val="clear" w:color="auto" w:fill="FFFFFF"/>
        <w:spacing w:before="180" w:after="0" w:line="240" w:lineRule="auto"/>
        <w:outlineLvl w:val="0"/>
      </w:pPr>
    </w:p>
    <w:p w:rsidR="00F775EE" w:rsidRPr="004B7484" w:rsidRDefault="00F775EE" w:rsidP="004B7484">
      <w:pPr>
        <w:shd w:val="clear" w:color="auto" w:fill="FFFFFF"/>
        <w:spacing w:before="180" w:after="0" w:line="240" w:lineRule="auto"/>
        <w:outlineLvl w:val="0"/>
        <w:rPr>
          <w:rFonts w:ascii="Segoe UI" w:eastAsia="Times New Roman" w:hAnsi="Segoe UI" w:cs="Segoe UI"/>
          <w:b/>
          <w:bCs/>
          <w:color w:val="93391B"/>
          <w:kern w:val="36"/>
          <w:sz w:val="21"/>
          <w:szCs w:val="21"/>
        </w:rPr>
      </w:pPr>
    </w:p>
    <w:p w:rsidR="00F77B6B" w:rsidRPr="004B7484" w:rsidRDefault="00F77B6B">
      <w:pPr>
        <w:rPr>
          <w:rFonts w:ascii="Segoe UI" w:hAnsi="Segoe UI" w:cs="Segoe UI"/>
          <w:sz w:val="24"/>
          <w:szCs w:val="24"/>
        </w:rPr>
      </w:pPr>
    </w:p>
    <w:sectPr w:rsidR="00F77B6B" w:rsidRPr="004B7484" w:rsidSect="009977BB">
      <w:headerReference w:type="default" r:id="rId14"/>
      <w:footerReference w:type="default" r:id="rId15"/>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A0" w:rsidRDefault="007B53A0" w:rsidP="008124FB">
      <w:pPr>
        <w:spacing w:after="0" w:line="240" w:lineRule="auto"/>
      </w:pPr>
      <w:r>
        <w:separator/>
      </w:r>
    </w:p>
  </w:endnote>
  <w:endnote w:type="continuationSeparator" w:id="0">
    <w:p w:rsidR="007B53A0" w:rsidRDefault="007B53A0" w:rsidP="0081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B" w:rsidRDefault="002A2E78">
    <w:pPr>
      <w:pStyle w:val="Footer"/>
    </w:pPr>
    <w:r>
      <w:rPr>
        <w:noProof/>
      </w:rPr>
      <w:drawing>
        <wp:anchor distT="0" distB="0" distL="114300" distR="114300" simplePos="0" relativeHeight="251663360" behindDoc="0" locked="0" layoutInCell="1" allowOverlap="1" wp14:anchorId="3EED9DAB" wp14:editId="3CC69159">
          <wp:simplePos x="0" y="0"/>
          <wp:positionH relativeFrom="column">
            <wp:posOffset>-917719</wp:posOffset>
          </wp:positionH>
          <wp:positionV relativeFrom="paragraph">
            <wp:posOffset>-1720718</wp:posOffset>
          </wp:positionV>
          <wp:extent cx="7767093" cy="2498581"/>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102" cy="2523354"/>
                  </a:xfrm>
                  <a:prstGeom prst="rect">
                    <a:avLst/>
                  </a:prstGeom>
                </pic:spPr>
              </pic:pic>
            </a:graphicData>
          </a:graphic>
          <wp14:sizeRelH relativeFrom="margin">
            <wp14:pctWidth>0</wp14:pctWidth>
          </wp14:sizeRelH>
          <wp14:sizeRelV relativeFrom="margin">
            <wp14:pctHeight>0</wp14:pctHeight>
          </wp14:sizeRelV>
        </wp:anchor>
      </w:drawing>
    </w:r>
  </w:p>
  <w:p w:rsidR="008124FB" w:rsidRDefault="00812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A0" w:rsidRDefault="007B53A0" w:rsidP="008124FB">
      <w:pPr>
        <w:spacing w:after="0" w:line="240" w:lineRule="auto"/>
      </w:pPr>
      <w:r>
        <w:separator/>
      </w:r>
    </w:p>
  </w:footnote>
  <w:footnote w:type="continuationSeparator" w:id="0">
    <w:p w:rsidR="007B53A0" w:rsidRDefault="007B53A0" w:rsidP="00812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B" w:rsidRDefault="002A2E78">
    <w:pPr>
      <w:pStyle w:val="Header"/>
    </w:pPr>
    <w:r>
      <w:rPr>
        <w:noProof/>
      </w:rPr>
      <w:drawing>
        <wp:anchor distT="0" distB="0" distL="114300" distR="114300" simplePos="0" relativeHeight="251662336" behindDoc="0" locked="0" layoutInCell="1" allowOverlap="1" wp14:anchorId="407F45C1" wp14:editId="6DA3C5F1">
          <wp:simplePos x="0" y="0"/>
          <wp:positionH relativeFrom="column">
            <wp:posOffset>-940279</wp:posOffset>
          </wp:positionH>
          <wp:positionV relativeFrom="paragraph">
            <wp:posOffset>-448574</wp:posOffset>
          </wp:positionV>
          <wp:extent cx="7788424" cy="13629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dau 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4639" cy="1371062"/>
                  </a:xfrm>
                  <a:prstGeom prst="rect">
                    <a:avLst/>
                  </a:prstGeom>
                </pic:spPr>
              </pic:pic>
            </a:graphicData>
          </a:graphic>
          <wp14:sizeRelH relativeFrom="margin">
            <wp14:pctWidth>0</wp14:pctWidth>
          </wp14:sizeRelH>
          <wp14:sizeRelV relativeFrom="margin">
            <wp14:pctHeight>0</wp14:pctHeight>
          </wp14:sizeRelV>
        </wp:anchor>
      </w:drawing>
    </w:r>
  </w:p>
  <w:p w:rsidR="008124FB" w:rsidRDefault="00812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D23B4"/>
    <w:multiLevelType w:val="hybridMultilevel"/>
    <w:tmpl w:val="E21CE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FB"/>
    <w:rsid w:val="00270656"/>
    <w:rsid w:val="002A2E78"/>
    <w:rsid w:val="00385806"/>
    <w:rsid w:val="003950D4"/>
    <w:rsid w:val="004527DD"/>
    <w:rsid w:val="004B7484"/>
    <w:rsid w:val="00551CDB"/>
    <w:rsid w:val="00686974"/>
    <w:rsid w:val="0074687E"/>
    <w:rsid w:val="007B53A0"/>
    <w:rsid w:val="007F01F5"/>
    <w:rsid w:val="00811DCC"/>
    <w:rsid w:val="008124FB"/>
    <w:rsid w:val="00816F80"/>
    <w:rsid w:val="00865E2C"/>
    <w:rsid w:val="00943F1A"/>
    <w:rsid w:val="009977BB"/>
    <w:rsid w:val="00A028E8"/>
    <w:rsid w:val="00A36280"/>
    <w:rsid w:val="00A97489"/>
    <w:rsid w:val="00B47295"/>
    <w:rsid w:val="00BA6F41"/>
    <w:rsid w:val="00BE79C1"/>
    <w:rsid w:val="00CA2027"/>
    <w:rsid w:val="00CD15A7"/>
    <w:rsid w:val="00D57155"/>
    <w:rsid w:val="00D805C4"/>
    <w:rsid w:val="00DC2517"/>
    <w:rsid w:val="00E74A03"/>
    <w:rsid w:val="00ED24EC"/>
    <w:rsid w:val="00ED587F"/>
    <w:rsid w:val="00F31DD2"/>
    <w:rsid w:val="00F775EE"/>
    <w:rsid w:val="00F77B6B"/>
    <w:rsid w:val="00FC09F6"/>
    <w:rsid w:val="00FF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4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B"/>
  </w:style>
  <w:style w:type="paragraph" w:styleId="Footer">
    <w:name w:val="footer"/>
    <w:basedOn w:val="Normal"/>
    <w:link w:val="FooterChar"/>
    <w:uiPriority w:val="99"/>
    <w:unhideWhenUsed/>
    <w:rsid w:val="008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B"/>
  </w:style>
  <w:style w:type="character" w:customStyle="1" w:styleId="Heading1Char">
    <w:name w:val="Heading 1 Char"/>
    <w:basedOn w:val="DefaultParagraphFont"/>
    <w:link w:val="Heading1"/>
    <w:uiPriority w:val="9"/>
    <w:rsid w:val="004B74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74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484"/>
    <w:rPr>
      <w:b/>
      <w:bCs/>
    </w:rPr>
  </w:style>
  <w:style w:type="character" w:styleId="Emphasis">
    <w:name w:val="Emphasis"/>
    <w:basedOn w:val="DefaultParagraphFont"/>
    <w:uiPriority w:val="20"/>
    <w:qFormat/>
    <w:rsid w:val="004B7484"/>
    <w:rPr>
      <w:i/>
      <w:iCs/>
    </w:rPr>
  </w:style>
  <w:style w:type="character" w:styleId="Hyperlink">
    <w:name w:val="Hyperlink"/>
    <w:basedOn w:val="DefaultParagraphFont"/>
    <w:uiPriority w:val="99"/>
    <w:semiHidden/>
    <w:unhideWhenUsed/>
    <w:rsid w:val="004B7484"/>
    <w:rPr>
      <w:color w:val="0000FF"/>
      <w:u w:val="single"/>
    </w:rPr>
  </w:style>
  <w:style w:type="paragraph" w:styleId="ListParagraph">
    <w:name w:val="List Paragraph"/>
    <w:basedOn w:val="Normal"/>
    <w:uiPriority w:val="34"/>
    <w:qFormat/>
    <w:rsid w:val="00997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4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B"/>
  </w:style>
  <w:style w:type="paragraph" w:styleId="Footer">
    <w:name w:val="footer"/>
    <w:basedOn w:val="Normal"/>
    <w:link w:val="FooterChar"/>
    <w:uiPriority w:val="99"/>
    <w:unhideWhenUsed/>
    <w:rsid w:val="008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B"/>
  </w:style>
  <w:style w:type="character" w:customStyle="1" w:styleId="Heading1Char">
    <w:name w:val="Heading 1 Char"/>
    <w:basedOn w:val="DefaultParagraphFont"/>
    <w:link w:val="Heading1"/>
    <w:uiPriority w:val="9"/>
    <w:rsid w:val="004B74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74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484"/>
    <w:rPr>
      <w:b/>
      <w:bCs/>
    </w:rPr>
  </w:style>
  <w:style w:type="character" w:styleId="Emphasis">
    <w:name w:val="Emphasis"/>
    <w:basedOn w:val="DefaultParagraphFont"/>
    <w:uiPriority w:val="20"/>
    <w:qFormat/>
    <w:rsid w:val="004B7484"/>
    <w:rPr>
      <w:i/>
      <w:iCs/>
    </w:rPr>
  </w:style>
  <w:style w:type="character" w:styleId="Hyperlink">
    <w:name w:val="Hyperlink"/>
    <w:basedOn w:val="DefaultParagraphFont"/>
    <w:uiPriority w:val="99"/>
    <w:semiHidden/>
    <w:unhideWhenUsed/>
    <w:rsid w:val="004B7484"/>
    <w:rPr>
      <w:color w:val="0000FF"/>
      <w:u w:val="single"/>
    </w:rPr>
  </w:style>
  <w:style w:type="paragraph" w:styleId="ListParagraph">
    <w:name w:val="List Paragraph"/>
    <w:basedOn w:val="Normal"/>
    <w:uiPriority w:val="34"/>
    <w:qFormat/>
    <w:rsid w:val="00997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2/QTT-TNCN&amp;area=2&amp;type=0&amp;match=False&amp;vc=True&amp;lan=1" TargetMode="External"/><Relationship Id="rId13" Type="http://schemas.openxmlformats.org/officeDocument/2006/relationships/hyperlink" Target="https://thuvienphapluat.vn/van-ban/Doanh-nghiep/Thong-tu-151-2014-TT-BTC-huong-dan-91-2014-ND-CP-sua-doi-bo-sung-Nghi-dinh-quy-dinh-thue-253864.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Thue-Phi-Le-Phi/Thong-tu-92-2015-TT-BTC-huong-dan-thue-gia-tri-gia-tang-thue-thu-nhap-ca-nhan-282089.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Thue-Phi-Le-Phi/Thong-tu-111-2013-TT-BTC-Huong-dan-Luat-thue-thu-nhap-ca-nhan-va-Nghi-dinh-65-2013-ND-CP-205356.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uvienphapluat.vn/van-ban/Thue-Phi-Le-Phi/Luat-thue-thu-nhap-ca-nhan-sua-doi-2012-26-2012-QH13-152719.aspx" TargetMode="External"/><Relationship Id="rId4" Type="http://schemas.openxmlformats.org/officeDocument/2006/relationships/settings" Target="settings.xml"/><Relationship Id="rId9" Type="http://schemas.openxmlformats.org/officeDocument/2006/relationships/hyperlink" Target="http://www.tncnonline.com.v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 BRAND 3</dc:creator>
  <cp:lastModifiedBy>Nguyen </cp:lastModifiedBy>
  <cp:revision>2</cp:revision>
  <dcterms:created xsi:type="dcterms:W3CDTF">2018-10-22T01:50:00Z</dcterms:created>
  <dcterms:modified xsi:type="dcterms:W3CDTF">2018-10-22T01:50:00Z</dcterms:modified>
</cp:coreProperties>
</file>