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32" w:rsidRPr="009C4F2F" w:rsidRDefault="00415AA9" w:rsidP="00415AA9">
      <w:pPr>
        <w:jc w:val="both"/>
        <w:rPr>
          <w:rFonts w:ascii="Segoe UI" w:hAnsi="Segoe UI" w:cs="Segoe UI"/>
          <w:b/>
          <w:sz w:val="28"/>
          <w:szCs w:val="28"/>
        </w:rPr>
      </w:pPr>
      <w:r w:rsidRPr="009C4F2F">
        <w:rPr>
          <w:rFonts w:ascii="Segoe UI" w:hAnsi="Segoe UI" w:cs="Segoe UI"/>
          <w:b/>
          <w:sz w:val="28"/>
          <w:szCs w:val="28"/>
        </w:rPr>
        <w:t>KỸ NĂNG XỬ LÝ MỘT SỐ TRƯỜNG HỢP VỀ CHI PHÍ THUẾ VÀ DOANH THU TÍNH THUẾ TRONG DOANH NGHIỆP</w:t>
      </w:r>
    </w:p>
    <w:p w:rsidR="00415AA9" w:rsidRPr="009C4F2F" w:rsidRDefault="00415AA9" w:rsidP="00415AA9">
      <w:pPr>
        <w:jc w:val="both"/>
        <w:rPr>
          <w:rFonts w:ascii="Segoe UI" w:hAnsi="Segoe UI" w:cs="Segoe UI"/>
          <w:sz w:val="28"/>
          <w:szCs w:val="28"/>
        </w:rPr>
      </w:pPr>
      <w:r w:rsidRPr="009C4F2F">
        <w:rPr>
          <w:rFonts w:ascii="Segoe UI" w:hAnsi="Segoe UI" w:cs="Segoe UI"/>
          <w:sz w:val="28"/>
          <w:szCs w:val="28"/>
        </w:rPr>
        <w:t>Trong quá trình hạch toán kế toán thực tế tại doanh nghiệp thường bắt gặp các trường hợp sau:</w:t>
      </w:r>
    </w:p>
    <w:p w:rsidR="00415AA9" w:rsidRPr="009C4F2F" w:rsidRDefault="00415AA9" w:rsidP="00415AA9">
      <w:pPr>
        <w:jc w:val="both"/>
        <w:rPr>
          <w:rFonts w:ascii="Segoe UI" w:hAnsi="Segoe UI" w:cs="Segoe UI"/>
          <w:b/>
          <w:sz w:val="28"/>
          <w:szCs w:val="28"/>
        </w:rPr>
      </w:pPr>
      <w:r w:rsidRPr="009C4F2F">
        <w:rPr>
          <w:rFonts w:ascii="Segoe UI" w:hAnsi="Segoe UI" w:cs="Segoe UI"/>
          <w:b/>
          <w:sz w:val="28"/>
          <w:szCs w:val="28"/>
        </w:rPr>
        <w:t>VỀ CHI PHÍ:</w:t>
      </w:r>
    </w:p>
    <w:p w:rsidR="00415AA9" w:rsidRPr="009C4F2F" w:rsidRDefault="00415AA9" w:rsidP="00415AA9">
      <w:pPr>
        <w:jc w:val="both"/>
        <w:rPr>
          <w:rFonts w:ascii="Segoe UI" w:hAnsi="Segoe UI" w:cs="Segoe UI"/>
          <w:sz w:val="28"/>
          <w:szCs w:val="28"/>
        </w:rPr>
      </w:pPr>
      <w:r w:rsidRPr="009C4F2F">
        <w:rPr>
          <w:rFonts w:ascii="Segoe UI" w:hAnsi="Segoe UI" w:cs="Segoe UI"/>
          <w:sz w:val="28"/>
          <w:szCs w:val="28"/>
        </w:rPr>
        <w:t>1. Thừa chi phí không hợp lý</w:t>
      </w:r>
    </w:p>
    <w:p w:rsidR="00415AA9" w:rsidRPr="009C4F2F" w:rsidRDefault="00415AA9" w:rsidP="00415AA9">
      <w:pPr>
        <w:jc w:val="both"/>
        <w:rPr>
          <w:rFonts w:ascii="Segoe UI" w:hAnsi="Segoe UI" w:cs="Segoe UI"/>
          <w:sz w:val="28"/>
          <w:szCs w:val="28"/>
        </w:rPr>
      </w:pPr>
      <w:r w:rsidRPr="009C4F2F">
        <w:rPr>
          <w:rFonts w:ascii="Segoe UI" w:hAnsi="Segoe UI" w:cs="Segoe UI"/>
          <w:sz w:val="28"/>
          <w:szCs w:val="28"/>
        </w:rPr>
        <w:t>2. Thiếu chi phí hợp lý. Những chi phí hợp lý có thể đưa vào nhưng không biết cách hợp lý hóa để đưa vào</w:t>
      </w:r>
    </w:p>
    <w:p w:rsidR="00415AA9" w:rsidRPr="009C4F2F" w:rsidRDefault="00415AA9" w:rsidP="00415AA9">
      <w:pPr>
        <w:jc w:val="both"/>
        <w:rPr>
          <w:rFonts w:ascii="Segoe UI" w:hAnsi="Segoe UI" w:cs="Segoe UI"/>
          <w:sz w:val="28"/>
          <w:szCs w:val="28"/>
        </w:rPr>
      </w:pPr>
      <w:r w:rsidRPr="009C4F2F">
        <w:rPr>
          <w:rFonts w:ascii="Segoe UI" w:hAnsi="Segoe UI" w:cs="Segoe UI"/>
          <w:sz w:val="28"/>
          <w:szCs w:val="28"/>
        </w:rPr>
        <w:t>3. Cơ cấu chi phí mất cân đối</w:t>
      </w:r>
    </w:p>
    <w:p w:rsidR="00415AA9" w:rsidRPr="009C4F2F" w:rsidRDefault="00415AA9" w:rsidP="00415AA9">
      <w:pPr>
        <w:jc w:val="both"/>
        <w:rPr>
          <w:rFonts w:ascii="Segoe UI" w:hAnsi="Segoe UI" w:cs="Segoe UI"/>
          <w:sz w:val="28"/>
          <w:szCs w:val="28"/>
        </w:rPr>
      </w:pPr>
      <w:r w:rsidRPr="009C4F2F">
        <w:rPr>
          <w:rFonts w:ascii="Segoe UI" w:hAnsi="Segoe UI" w:cs="Segoe UI"/>
          <w:sz w:val="28"/>
          <w:szCs w:val="28"/>
        </w:rPr>
        <w:t>4. Chi phí đưa vào không phù hợp chu kỳ SXKD để tạo ra doanh nhu</w:t>
      </w:r>
    </w:p>
    <w:p w:rsidR="007838E1" w:rsidRPr="009C4F2F" w:rsidRDefault="007838E1" w:rsidP="00415AA9">
      <w:pPr>
        <w:jc w:val="both"/>
        <w:rPr>
          <w:rFonts w:ascii="Segoe UI" w:hAnsi="Segoe UI" w:cs="Segoe UI"/>
          <w:sz w:val="28"/>
          <w:szCs w:val="28"/>
        </w:rPr>
      </w:pPr>
      <w:r w:rsidRPr="009C4F2F">
        <w:rPr>
          <w:rFonts w:ascii="Segoe UI" w:hAnsi="Segoe UI" w:cs="Segoe UI"/>
          <w:sz w:val="28"/>
          <w:szCs w:val="28"/>
        </w:rPr>
        <w:t>5. Một số chi phí có hóa đơn chứng từ không đủ điều kiện để nghi nhận là chi phí hợp lý</w:t>
      </w:r>
    </w:p>
    <w:p w:rsidR="007838E1" w:rsidRPr="009C4F2F" w:rsidRDefault="007838E1" w:rsidP="00415AA9">
      <w:pPr>
        <w:jc w:val="both"/>
        <w:rPr>
          <w:rFonts w:ascii="Segoe UI" w:hAnsi="Segoe UI" w:cs="Segoe UI"/>
          <w:sz w:val="28"/>
          <w:szCs w:val="28"/>
        </w:rPr>
      </w:pPr>
      <w:r w:rsidRPr="009C4F2F">
        <w:rPr>
          <w:rFonts w:ascii="Segoe UI" w:hAnsi="Segoe UI" w:cs="Segoe UI"/>
          <w:sz w:val="28"/>
          <w:szCs w:val="28"/>
        </w:rPr>
        <w:t>6. Hàng về trước hóa đơn về sau</w:t>
      </w:r>
    </w:p>
    <w:p w:rsidR="007838E1" w:rsidRPr="009C4F2F" w:rsidRDefault="007838E1" w:rsidP="00415AA9">
      <w:pPr>
        <w:jc w:val="both"/>
        <w:rPr>
          <w:rFonts w:ascii="Segoe UI" w:hAnsi="Segoe UI" w:cs="Segoe UI"/>
          <w:sz w:val="28"/>
          <w:szCs w:val="28"/>
        </w:rPr>
      </w:pPr>
      <w:r w:rsidRPr="009C4F2F">
        <w:rPr>
          <w:rFonts w:ascii="Segoe UI" w:hAnsi="Segoe UI" w:cs="Segoe UI"/>
          <w:sz w:val="28"/>
          <w:szCs w:val="28"/>
        </w:rPr>
        <w:t>………….</w:t>
      </w:r>
    </w:p>
    <w:p w:rsidR="007838E1" w:rsidRPr="009C4F2F" w:rsidRDefault="007838E1" w:rsidP="00415AA9">
      <w:pPr>
        <w:jc w:val="both"/>
        <w:rPr>
          <w:rFonts w:ascii="Segoe UI" w:hAnsi="Segoe UI" w:cs="Segoe UI"/>
          <w:sz w:val="28"/>
          <w:szCs w:val="28"/>
        </w:rPr>
      </w:pPr>
      <w:r w:rsidRPr="009C4F2F">
        <w:rPr>
          <w:rFonts w:ascii="Segoe UI" w:hAnsi="Segoe UI" w:cs="Segoe UI"/>
          <w:sz w:val="28"/>
          <w:szCs w:val="28"/>
        </w:rPr>
        <w:t>Vậy khi gặp phải một hoặc nhiều tình trạng như trên thì phải tính toán, cân đối và xử lý như thế nào?</w:t>
      </w:r>
    </w:p>
    <w:p w:rsidR="007838E1" w:rsidRDefault="007838E1" w:rsidP="00415AA9">
      <w:pPr>
        <w:jc w:val="both"/>
        <w:rPr>
          <w:rFonts w:ascii="Segoe UI" w:hAnsi="Segoe UI" w:cs="Segoe UI"/>
          <w:sz w:val="28"/>
          <w:szCs w:val="28"/>
        </w:rPr>
      </w:pPr>
      <w:r w:rsidRPr="009C4F2F">
        <w:rPr>
          <w:rFonts w:ascii="Segoe UI" w:hAnsi="Segoe UI" w:cs="Segoe UI"/>
          <w:sz w:val="28"/>
          <w:szCs w:val="28"/>
        </w:rPr>
        <w:t xml:space="preserve">Những loại chi phí nào không cần có hóa đơn tài chính vẫn được ghi nhận là chi phí hợp lý? Và để hợp lý nó bạn cần những </w:t>
      </w:r>
      <w:r w:rsidR="009C4F2F" w:rsidRPr="009C4F2F">
        <w:rPr>
          <w:rFonts w:ascii="Segoe UI" w:hAnsi="Segoe UI" w:cs="Segoe UI"/>
          <w:sz w:val="28"/>
          <w:szCs w:val="28"/>
        </w:rPr>
        <w:t>gì?</w:t>
      </w:r>
    </w:p>
    <w:p w:rsidR="007838E1" w:rsidRPr="009C4F2F" w:rsidRDefault="007838E1" w:rsidP="00415AA9">
      <w:pPr>
        <w:jc w:val="both"/>
        <w:rPr>
          <w:rFonts w:ascii="Segoe UI" w:hAnsi="Segoe UI" w:cs="Segoe UI"/>
          <w:sz w:val="28"/>
          <w:szCs w:val="28"/>
        </w:rPr>
      </w:pPr>
    </w:p>
    <w:p w:rsidR="00415AA9" w:rsidRPr="009C4F2F" w:rsidRDefault="00415AA9" w:rsidP="00415AA9">
      <w:pPr>
        <w:jc w:val="both"/>
        <w:rPr>
          <w:rFonts w:ascii="Segoe UI" w:hAnsi="Segoe UI" w:cs="Segoe UI"/>
          <w:b/>
          <w:sz w:val="28"/>
          <w:szCs w:val="28"/>
        </w:rPr>
      </w:pPr>
      <w:r w:rsidRPr="009C4F2F">
        <w:rPr>
          <w:rFonts w:ascii="Segoe UI" w:hAnsi="Segoe UI" w:cs="Segoe UI"/>
          <w:b/>
          <w:sz w:val="28"/>
          <w:szCs w:val="28"/>
        </w:rPr>
        <w:t>VỀ DOANH THU:</w:t>
      </w:r>
    </w:p>
    <w:p w:rsidR="00415AA9" w:rsidRPr="009C4F2F" w:rsidRDefault="00415AA9" w:rsidP="00415AA9">
      <w:pPr>
        <w:jc w:val="both"/>
        <w:rPr>
          <w:rFonts w:ascii="Segoe UI" w:hAnsi="Segoe UI" w:cs="Segoe UI"/>
          <w:sz w:val="28"/>
          <w:szCs w:val="28"/>
        </w:rPr>
      </w:pPr>
      <w:r w:rsidRPr="009C4F2F">
        <w:rPr>
          <w:rFonts w:ascii="Segoe UI" w:hAnsi="Segoe UI" w:cs="Segoe UI"/>
          <w:sz w:val="28"/>
          <w:szCs w:val="28"/>
        </w:rPr>
        <w:t>1. Xuất hóa đơn không đúng thời điểm, dẫn đến phân bổ sai chi phí sai chu kỳ</w:t>
      </w:r>
    </w:p>
    <w:p w:rsidR="00415AA9" w:rsidRPr="009C4F2F" w:rsidRDefault="00415AA9" w:rsidP="00415AA9">
      <w:pPr>
        <w:jc w:val="both"/>
        <w:rPr>
          <w:rFonts w:ascii="Segoe UI" w:hAnsi="Segoe UI" w:cs="Segoe UI"/>
          <w:sz w:val="28"/>
          <w:szCs w:val="28"/>
        </w:rPr>
      </w:pPr>
      <w:r w:rsidRPr="009C4F2F">
        <w:rPr>
          <w:rFonts w:ascii="Segoe UI" w:hAnsi="Segoe UI" w:cs="Segoe UI"/>
          <w:sz w:val="28"/>
          <w:szCs w:val="28"/>
        </w:rPr>
        <w:lastRenderedPageBreak/>
        <w:t>2. Xuất sai hóa đơn so với quy định</w:t>
      </w:r>
    </w:p>
    <w:p w:rsidR="00415AA9" w:rsidRPr="009C4F2F" w:rsidRDefault="00415AA9" w:rsidP="00415AA9">
      <w:pPr>
        <w:jc w:val="both"/>
        <w:rPr>
          <w:rFonts w:ascii="Segoe UI" w:hAnsi="Segoe UI" w:cs="Segoe UI"/>
          <w:sz w:val="28"/>
          <w:szCs w:val="28"/>
        </w:rPr>
      </w:pPr>
      <w:r w:rsidRPr="009C4F2F">
        <w:rPr>
          <w:rFonts w:ascii="Segoe UI" w:hAnsi="Segoe UI" w:cs="Segoe UI"/>
          <w:sz w:val="28"/>
          <w:szCs w:val="28"/>
        </w:rPr>
        <w:t>3. Xuất thiếu doanh thu, xác định thu nhập chịu thuế sai</w:t>
      </w:r>
    </w:p>
    <w:p w:rsidR="007838E1" w:rsidRDefault="007838E1" w:rsidP="00415AA9">
      <w:pPr>
        <w:jc w:val="both"/>
        <w:rPr>
          <w:rFonts w:ascii="Segoe UI" w:hAnsi="Segoe UI" w:cs="Segoe UI"/>
          <w:sz w:val="28"/>
          <w:szCs w:val="28"/>
        </w:rPr>
      </w:pPr>
      <w:r w:rsidRPr="009C4F2F">
        <w:rPr>
          <w:rFonts w:ascii="Segoe UI" w:hAnsi="Segoe UI" w:cs="Segoe UI"/>
          <w:sz w:val="28"/>
          <w:szCs w:val="28"/>
        </w:rPr>
        <w:t>5. Xuât hóa đơn đầu ra trong khi chưa có đầu vào (âm kho)</w:t>
      </w:r>
    </w:p>
    <w:p w:rsidR="009C4F2F" w:rsidRDefault="009C4F2F" w:rsidP="00415AA9">
      <w:pPr>
        <w:jc w:val="both"/>
        <w:rPr>
          <w:rFonts w:ascii="Segoe UI" w:hAnsi="Segoe UI" w:cs="Segoe UI"/>
          <w:sz w:val="28"/>
          <w:szCs w:val="28"/>
        </w:rPr>
      </w:pPr>
      <w:r>
        <w:rPr>
          <w:rFonts w:ascii="Segoe UI" w:hAnsi="Segoe UI" w:cs="Segoe UI"/>
          <w:sz w:val="28"/>
          <w:szCs w:val="28"/>
        </w:rPr>
        <w:t>6. Doanh thu để ngoài sổ sách, các khoản thu nhập tiềm ẩn rủi ro</w:t>
      </w:r>
    </w:p>
    <w:p w:rsidR="009C4F2F" w:rsidRPr="009C4F2F" w:rsidRDefault="009C4F2F" w:rsidP="00415AA9">
      <w:pPr>
        <w:jc w:val="both"/>
        <w:rPr>
          <w:rFonts w:ascii="Segoe UI" w:hAnsi="Segoe UI" w:cs="Segoe UI"/>
          <w:sz w:val="28"/>
          <w:szCs w:val="28"/>
        </w:rPr>
      </w:pPr>
      <w:r>
        <w:rPr>
          <w:rFonts w:ascii="Segoe UI" w:hAnsi="Segoe UI" w:cs="Segoe UI"/>
          <w:sz w:val="28"/>
          <w:szCs w:val="28"/>
        </w:rPr>
        <w:t>……………………………</w:t>
      </w:r>
    </w:p>
    <w:p w:rsidR="009C4F2F" w:rsidRPr="009C4F2F" w:rsidRDefault="009C4F2F" w:rsidP="009C4F2F">
      <w:pPr>
        <w:spacing w:after="0" w:line="240" w:lineRule="auto"/>
        <w:rPr>
          <w:rFonts w:ascii="Arial" w:eastAsia="Times New Roman" w:hAnsi="Arial" w:cs="Arial"/>
          <w:b/>
          <w:color w:val="474747"/>
          <w:sz w:val="36"/>
          <w:szCs w:val="36"/>
          <w:shd w:val="clear" w:color="auto" w:fill="FFFFFF"/>
        </w:rPr>
      </w:pPr>
      <w:r>
        <w:rPr>
          <w:rFonts w:ascii="Arial" w:eastAsia="Times New Roman" w:hAnsi="Arial" w:cs="Arial"/>
          <w:b/>
          <w:color w:val="474747"/>
          <w:sz w:val="36"/>
          <w:szCs w:val="36"/>
          <w:shd w:val="clear" w:color="auto" w:fill="FFFFFF"/>
        </w:rPr>
        <w:t>Theo đó:</w:t>
      </w:r>
    </w:p>
    <w:p w:rsidR="009C4F2F" w:rsidRPr="009C4F2F" w:rsidRDefault="009C4F2F" w:rsidP="009C4F2F">
      <w:pPr>
        <w:spacing w:after="0" w:line="240" w:lineRule="auto"/>
        <w:rPr>
          <w:rFonts w:ascii="Arial" w:eastAsia="Times New Roman" w:hAnsi="Arial" w:cs="Arial"/>
          <w:color w:val="474747"/>
          <w:sz w:val="28"/>
          <w:szCs w:val="28"/>
          <w:shd w:val="clear" w:color="auto" w:fill="FFFFFF"/>
        </w:rPr>
      </w:pPr>
      <w:r>
        <w:rPr>
          <w:rFonts w:ascii="Arial" w:eastAsia="Times New Roman" w:hAnsi="Arial" w:cs="Arial"/>
          <w:color w:val="474747"/>
          <w:sz w:val="28"/>
          <w:szCs w:val="28"/>
          <w:shd w:val="clear" w:color="auto" w:fill="FFFFFF"/>
        </w:rPr>
        <w:t>+)</w:t>
      </w:r>
      <w:r w:rsidRPr="009C4F2F">
        <w:rPr>
          <w:rFonts w:ascii="Arial" w:eastAsia="Times New Roman" w:hAnsi="Arial" w:cs="Arial"/>
          <w:color w:val="474747"/>
          <w:sz w:val="28"/>
          <w:szCs w:val="28"/>
          <w:shd w:val="clear" w:color="auto" w:fill="FFFFFF"/>
        </w:rPr>
        <w:t>Các khoản chi phí được trừ và không được trừ khi xác định thu nhập chịu thuế TNDN đang được quy định tại:</w:t>
      </w:r>
    </w:p>
    <w:p w:rsidR="009C4F2F" w:rsidRPr="009C4F2F" w:rsidRDefault="009C4F2F" w:rsidP="009C4F2F">
      <w:pPr>
        <w:spacing w:after="0" w:line="240" w:lineRule="auto"/>
        <w:rPr>
          <w:rFonts w:ascii="Times New Roman" w:eastAsia="Times New Roman" w:hAnsi="Times New Roman" w:cs="Times New Roman"/>
          <w:sz w:val="24"/>
          <w:szCs w:val="24"/>
        </w:rPr>
      </w:pPr>
      <w:r w:rsidRPr="009C4F2F">
        <w:rPr>
          <w:rFonts w:ascii="Arial" w:eastAsia="Times New Roman" w:hAnsi="Arial" w:cs="Arial"/>
          <w:color w:val="474747"/>
          <w:sz w:val="20"/>
          <w:szCs w:val="20"/>
          <w:shd w:val="clear" w:color="auto" w:fill="FFFFFF"/>
        </w:rPr>
        <w:t xml:space="preserve"> Điều 6 của TT 78/2014/TT-BTC hướng dẫn về thuế TNDN có hiệu lực từ ngày 2/8/2014 và đã được sửa đổi bổ sung tại:</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pacing w:after="0" w:line="240" w:lineRule="auto"/>
        <w:rPr>
          <w:rFonts w:ascii="Times New Roman" w:eastAsia="Times New Roman" w:hAnsi="Times New Roman" w:cs="Times New Roman"/>
          <w:sz w:val="24"/>
          <w:szCs w:val="24"/>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Điều 6 của TT 119/2014/TT-BTC có hiệu lực từ 1/9/2014</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Điều 1 chương I của TT 151/2014/TT-BTC có hiệu lực từ ngày 15/11/2014.</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Điều 4 của thông tư 96/2015/TT-BTC (HL: 6/8/2015 nhưng được áp dụng cho kỳ tính thuế từ năm 2015)</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FF0000"/>
          <w:sz w:val="20"/>
          <w:szCs w:val="20"/>
        </w:rPr>
        <w:t>I. Doanh nghiệp được trừ mọi khoản chi nếu đáp ứng đủ các điều kiện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a) Khoản chi thực tế phát sinh liên quan đến hoạt động sản xuất, kinh doanh của doanh nghiệp.</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b) Khoản chi có đủ hóa đơn, chứng từ hợp pháp.</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 Khoản chi nếu có hóa đơn mua hàng hóa, dịch vụ từng lần có giá trị từ 20 triệu đồng trở lên (giá đã bao gồm thuế GTGT) khi thanh toán phải có chứng từ thanh toán không dùng tiền mặt</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Trường hợp mua hàng có giá trị từ </w:t>
      </w:r>
      <w:r w:rsidRPr="009C4F2F">
        <w:rPr>
          <w:rFonts w:ascii="Arial" w:eastAsia="Times New Roman" w:hAnsi="Arial" w:cs="Arial"/>
          <w:color w:val="FF0000"/>
          <w:sz w:val="20"/>
          <w:szCs w:val="20"/>
        </w:rPr>
        <w:t>hai mươi triệu đồng trở lên </w:t>
      </w:r>
      <w:r w:rsidRPr="009C4F2F">
        <w:rPr>
          <w:rFonts w:ascii="Arial" w:eastAsia="Times New Roman" w:hAnsi="Arial" w:cs="Arial"/>
          <w:color w:val="474747"/>
          <w:sz w:val="20"/>
          <w:szCs w:val="20"/>
        </w:rPr>
        <w:t>mà chưa thanh toán thì doanh nghiệp được tính vào chi phí được trừ nhưng khi thanh toán doanh nghiệp dùng tiền mặt thì doanh nghiệp phải kê khai, điều chỉnh giảm chi phí đó xuống (tức là chi phí này không được tính vào CP được trừ nữa).</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Trường hợp doanh nghiệp mua hàng hóa, dịch vụ liên quan đến hoạt động sản xuất kinh doanh của doanh nghiệp và có hóa đơn in trực tiếp từ máy tính tiền theo quy định của pháp luật về hóa đơn; mà hóa đơn này được thanh toán theo các quy định trên thì được tính vào chi phí được trừ.</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1. Chi phí trước khi thành lập DN: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Chi phí thành lập doanh nghiệp, chi phí đào tạo nhân viên, chi phí quảng cáo phát sinh trước khi thành lập doanh nghiệp, chi phí cho giai đoạn nghiên cứu, chi phí chuyển dịch địa điểm, chi phí mua để có và sử dụng các tài liệu kỹ thuật, bằng sáng chế, giấy phép chuyển giao công nghệ, nhãn hiệu thương mại, lợi thế kinh doanh không phải là tài sản cố định vô hình mà được phân bổ dần vào chi phí kinh doanh của doanh nghiệp trong thời gian tối đa không quá 3 năm theo quy định của Luật thuế TNDN.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(Theo khoản 3 điều 3 của thông tư 45/2013/TT-BTC)</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2. Trường hợp doanh nghiệp có chi phí liên quan đến phần giá trị tổn thất</w:t>
      </w:r>
      <w:r w:rsidRPr="009C4F2F">
        <w:rPr>
          <w:rFonts w:ascii="Arial" w:eastAsia="Times New Roman" w:hAnsi="Arial" w:cs="Arial"/>
          <w:color w:val="474747"/>
          <w:sz w:val="20"/>
          <w:szCs w:val="20"/>
        </w:rPr>
        <w:t> do thiên tai, dịch bệnh, hỏa hoạn và trường hợp bất khả kháng khác như: Hàng hóa bị hư hỏng do thay đổi quá trình sinh hóa tự nhiên, hàng hóa hết hạn sử dụng... không được bồi thường thì khoản chi này được tính vào chi phí được trừ khi xác định thu nhập chịu thuế</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Chi tiết về hồ sơ và cách thực hiện các bạn xem thêm tại đây: Chi phí tổn thất, hàng hóa hư hỏng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(Chú ý: các trường hợp mất do quản lý, do vận chuyển dù không được bùi thường thì cũng không được tính vào chi phí được trừ khi tính thuế TNDN)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3366FF"/>
          <w:sz w:val="20"/>
          <w:szCs w:val="20"/>
        </w:rPr>
        <w:t>3</w:t>
      </w:r>
      <w:r w:rsidRPr="009C4F2F">
        <w:rPr>
          <w:rFonts w:ascii="Arial" w:eastAsia="Times New Roman" w:hAnsi="Arial" w:cs="Arial"/>
          <w:b/>
          <w:bCs/>
          <w:color w:val="3366FF"/>
          <w:sz w:val="20"/>
          <w:szCs w:val="20"/>
        </w:rPr>
        <w:t>. Khoản chi có tính chất phúc lợi chi trực tiếp cho người lao động như</w:t>
      </w:r>
      <w:r w:rsidRPr="009C4F2F">
        <w:rPr>
          <w:rFonts w:ascii="Arial" w:eastAsia="Times New Roman" w:hAnsi="Arial" w:cs="Arial"/>
          <w:color w:val="474747"/>
          <w:sz w:val="20"/>
          <w:szCs w:val="20"/>
        </w:rPr>
        <w:t xml:space="preserve">: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w:t>
      </w:r>
      <w:r w:rsidRPr="009C4F2F">
        <w:rPr>
          <w:rFonts w:ascii="Arial" w:eastAsia="Times New Roman" w:hAnsi="Arial" w:cs="Arial"/>
          <w:color w:val="474747"/>
          <w:sz w:val="20"/>
          <w:szCs w:val="20"/>
        </w:rPr>
        <w:lastRenderedPageBreak/>
        <w:t>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hướng dẫn tại điểm 2.6, bảo hiểm hưu trí tự nguyện cho người lao động hướng dẫn tại điểm 2.11 Điều 4 của TT 96/2015/TT-BTC) và những khoản chi có tính chất phúc lợi khác. Tổng số chi có tính chất phúc lợi nêu trên không quá 01 tháng lương bình quân thực tế thực hiện trong năm tính thuế của doanh nghiệp.</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Việc xác định 01 tháng lương bình quân thực tế thực hiện trong năm tính thuế của doanh nghiệp được xác định bằng quỹ tiền lương thực hiện trong năm chia (:) 12 tháng.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Trường hợp doanh nghiệp hoạt động không đủ 12 tháng thì:</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Việc xác định 01 tháng lương bình quân thực tế thực hiện trong năm tính thuế được xác định bằng quỹ tiền lương thực hiện trong năm chia (:) số tháng thực tế hoạt động trong năm.</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4. Các khoản chi: quảng cáo, tiếp thị, khuyến mại, hoa hồng môi giới; chi tiếp tân, khánh tiết, hội nghị; chi hỗ trợ tiếp thị, chi hỗ trợ chi phí; chi cho, biếu, tặng hàng hóa, dịch vụ cho khách hàng: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Bắt đầu từ ngày 1/1/2015, khi Luật số: 71/2014/QH13, Hà Nội, ngày 26 tháng 11 năm 2014 - LUẬT SỬA ĐỔI, BỔ SUNG MỘT SỐ ĐIỀU CỦA CÁC LUẬT VỀ THUẾ có hiệu lực thì  tại Điều 1 - khoản 4. "Bãi bỏ điểm m khoản 2 Điều 9" của luật sửa đổi số 32/2013/QH13 - tức là "Dỡ bỏ trần chi quảng cáo, tiếp thị, khuyến mại, hoa hồng môi giới, tiếp tân, khánh tiết, hội nghị, hỗ trợ tiếp thị, hỗ trợ chi phí liên quan trực tiếp đến hoạt động sản xuất, kinh doanh 15% cho doanh nghiệp"</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=&gt; Bắt đầu từ năm 2015, Các chi phí quảng cáo trên không còn bị khống chế nữa.</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(Trước ngày 1/1/2015: Theo Thông tư 78/2014/TT-BTC là bị khống chế 15%) </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5. Chi phí của doanh nghiệp mua hàng hóa, dịch vụ không có hóa đơn</w:t>
      </w:r>
      <w:r w:rsidRPr="009C4F2F">
        <w:rPr>
          <w:rFonts w:ascii="Arial" w:eastAsia="Times New Roman" w:hAnsi="Arial" w:cs="Arial"/>
          <w:color w:val="474747"/>
          <w:sz w:val="20"/>
          <w:szCs w:val="20"/>
        </w:rPr>
        <w:t> nhưng không lập Bảng kê 01/TNDN kèm theo chứng từ thanh toán cho người bán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FF0000"/>
          <w:sz w:val="20"/>
          <w:szCs w:val="20"/>
        </w:rPr>
        <w:t> II. Các khoản chi không được trừ khi tính thuế TNDN:</w:t>
      </w:r>
    </w:p>
    <w:p w:rsidR="009C4F2F" w:rsidRPr="009C4F2F" w:rsidRDefault="009C4F2F" w:rsidP="009C4F2F">
      <w:pPr>
        <w:shd w:val="clear" w:color="auto" w:fill="FFFFFF"/>
        <w:spacing w:after="0" w:line="240" w:lineRule="auto"/>
        <w:jc w:val="center"/>
        <w:rPr>
          <w:rFonts w:ascii="Arial" w:eastAsia="Times New Roman" w:hAnsi="Arial" w:cs="Arial"/>
          <w:color w:val="474747"/>
          <w:sz w:val="20"/>
          <w:szCs w:val="20"/>
        </w:rPr>
      </w:pPr>
      <w:r>
        <w:rPr>
          <w:rFonts w:ascii="Arial" w:eastAsia="Times New Roman" w:hAnsi="Arial" w:cs="Arial"/>
          <w:noProof/>
          <w:color w:val="2288BB"/>
          <w:sz w:val="20"/>
          <w:szCs w:val="20"/>
        </w:rPr>
        <w:drawing>
          <wp:inline distT="0" distB="0" distL="0" distR="0">
            <wp:extent cx="2800350" cy="2857500"/>
            <wp:effectExtent l="0" t="0" r="0" b="0"/>
            <wp:docPr id="4" name="Picture 4" descr="http://lh4.googleusercontent.com/-JkUst9nR3As/VnkdCG6KC6I/AAAAAAAAAU0/nizbkUJP1g8/s1600/chi%2Bph%25C3%25AD%2Bkh%25C3%25B4ng%2B%25C4%2591%25C6%25B0%25E1%25BB%25A3c%2Btr%25E1%25BB%25A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oogleusercontent.com/-JkUst9nR3As/VnkdCG6KC6I/AAAAAAAAAU0/nizbkUJP1g8/s1600/chi%2Bph%25C3%25AD%2Bkh%25C3%25B4ng%2B%25C4%2591%25C6%25B0%25E1%25BB%25A3c%2Btr%25E1%25BB%25A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857500"/>
                    </a:xfrm>
                    <a:prstGeom prst="rect">
                      <a:avLst/>
                    </a:prstGeom>
                    <a:noFill/>
                    <a:ln>
                      <a:noFill/>
                    </a:ln>
                  </pic:spPr>
                </pic:pic>
              </a:graphicData>
            </a:graphic>
          </wp:inline>
        </w:drawing>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Gồm các khoản chi không đáp ứng đủ các điều kiện quy định tại phần I nêu trên và các trường hợp đặc biệt, khống chế mức chi như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1. Chi tiền lương, tiền công, tiền thưởng cho người lao động sẽ bị loại khỏi CP được trừ nếu: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Đã hạch toán vào chi phí sản xuất kinh doanh trong kỳ nhưng thực tế không chi trả hoặc không có chứng từ thanh toán. Hoặc trả sau thời hạn nộp hồ sơ quyết toán thuế năm.</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Các khoản tiền lương, tiền thưởng, chi mua bảo hiểm nhân thọ cho người lao động không được ghi cụ thể điều kiện được hưởng và mức được hưởng tại một trong các hồ sơ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Hợp đồng lao động;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Thoả ước lao động tập thể;</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Quy chế tài chính của Công ty, Tổng công ty, Tập đoàn;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lastRenderedPageBreak/>
        <w:t>Quy chế thưởng do Chủ tịch Hội đồng quản trị, Tổng giám đốc, Giám đốc quy định theo quy chế tài chính của Công ty, Tổng công ty.</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Tiền lương, tiền công của chủ doanh nghiệp tư nhân, chủ công ty trách nhiệm hữu hạn một thành viên (do một cá nhân làm chủ); thù lao trả cho các sáng lập viên, thành viên của hội đồng thành viên, hội đồng quản trị mà những người này không trực tiếp tham gia điều hành sản xuất, kinh doanh.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Chú ý: Theo CV 4568/TCT - TNCN ngày 16/10/2014 của Bộ Tài Chính thì "trường hợp Công ty TNHH một thành viên trả tiền lương, tiền công, tiền thù lao cho chủ sở hữu công ty là giám đốc trực tiếp tham gia điều hành sản xuất, kinh doanh thì được tính vào chi phí sản xuất kinh doanh của doanh nghiệp. Các khoản thu nhập trên được coi là tiền lương và phải nộp thuế thu nhập cá nhân từ tiền lương, tiền công theo quy định."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Công văn 4568 này làm cho rất nhiều kế toán nghĩ rằng sẽ được tính vào chi phí được trừ đối lương của giám đốc công ty TNHH MTV khi họ tham gia vào điều hành hoạt động SXKD.</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Nhưng đến ngày 3/3/2015, Tổng cục Thuế đã ban hành công văn 727/TCT-CS đã giải đáp vấn đề trên: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Căn cứ đặc thù của Doanh nghiệp tư nhân và Công ty TNHH một thành viên được thành lập theo quy định của Luật Doanh nghiệp thì khoản chi tiền lương, tiền công của chủ Doanh nghiệp tư nhân, chủ Công ty TNHH một thành viên (do một cá nhân làm chủ), (không phân biệt có hay không tham gia trực tiếp điêu hành sản xuất, kinh doanh) đều thuộc khoán chi phí quy định tai tiết d, điểm 2.5, khoản 2, Điều 6 Thông tư số 78/2014/TT-BTC nêu trên."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2. Chi trang phục:</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Phần chi trang phục bằng hiện vật cho người lao động không có hóa đơn, chứng từ. Phần chi trang phục bằng tiền cho người lao động vượt quá 05 (năm) triệu đồng/người/năm.</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Trường hợp doanh nghiệp có chi trang phục cả bằng tiền và hiện vật cho người lao động để được tính vào chi phí được trừ thì mức chi tối đa đối với chi bằng tiền không vượt quá 05 (năm) triệu đồng/người/năm, bằng hiện vật phải có hóa đơn, chứng từ.</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w:t>
      </w:r>
      <w:r w:rsidRPr="009C4F2F">
        <w:rPr>
          <w:rFonts w:ascii="Arial" w:eastAsia="Times New Roman" w:hAnsi="Arial" w:cs="Arial"/>
          <w:b/>
          <w:bCs/>
          <w:color w:val="3366FF"/>
          <w:sz w:val="20"/>
          <w:szCs w:val="20"/>
        </w:rPr>
        <w:t>3. Phần chi phí trả lãi tiền vay vốn sản xuất kinh doanh của cá nhân</w:t>
      </w:r>
      <w:r w:rsidRPr="009C4F2F">
        <w:rPr>
          <w:rFonts w:ascii="Arial" w:eastAsia="Times New Roman" w:hAnsi="Arial" w:cs="Arial"/>
          <w:color w:val="474747"/>
          <w:sz w:val="20"/>
          <w:szCs w:val="20"/>
        </w:rPr>
        <w:t> - đối tượng không phải là tổ chức tín dụng hoặc tổ chức kinh tế vượt quá 150% mức lãi suất cơ bản do Ngân hàng Nhà nước Việt Nam công bố tại thời điểm vay. (Các bạn xem mức lãi suất của Ngân hàng Nhà nước VN trên trang web: sbv.gov.vn)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4. Chi trả lãi tiền vay tương ứng với phần vốn điều lệ (đối với doanh nghiệp tư nhân</w:t>
      </w:r>
      <w:r w:rsidRPr="009C4F2F">
        <w:rPr>
          <w:rFonts w:ascii="Arial" w:eastAsia="Times New Roman" w:hAnsi="Arial" w:cs="Arial"/>
          <w:color w:val="474747"/>
          <w:sz w:val="20"/>
          <w:szCs w:val="20"/>
        </w:rPr>
        <w:t> là vốn đầu tư) đã đăng ký còn thiếu theo tiến độ góp vốn ghi trong điều lệ của doanh nghiệp kể cả trường hợp doanh nghiệp đã đi vào sản xuất kinh doanh. Chi trả lãi tiền vay trong quá trình đầu tư đã được ghi nhận vào giá trị của tài sản, giá trị công trình đầu tư.</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Trường hợp doanh nghiệp đã góp đủ vốn điều lệ, trong quá trình kinh doanh có khoản chi trả lãi tiền vay để đầu tư vào doanh nghiệp khác thì khoản chi này được tính vào chi phí được trừ khi xác định thu nhập chịu thuế.</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Chi trả lãi tiền vay tương ứng với vốn điều lệ còn thiếu theo tiến độ góp vốn ghi trong điều lệ của doanh nghiệp không được trừ khi xác định thu nhập chịu thuế được xác định như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Trường hợp số tiền vay nhỏ hơn hoặc bằng số vốn điều lệ còn thiếu thì toàn bộ lãi tiền vay là khoản chi không được trừ.</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Trường hợp số tiền vay lớn hơn số vốn điều lệ còn thiếu theo tiến độ góp vốn: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Nếu doanh nghiệp phát sinh nhiều khoản vay thì khoản chi trả lãi tiền vay không được trừ bằng tỷ lệ (%) giữa vốn điều lệ còn thiếu trên tổng số tiền vay nhân (x) tổng số lãi vay.</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Nếu doanh nghiệp chỉ phát sinh một khoản vay thì khoản chi trả lãi tiền không được trừ bằng số vốn điều lệ còn thiếu nhân (x) lãi suất của khoản vay nhân (x) thời gian góp vốn điều lệ còn thiếu.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Chú ý:</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Thời hạn góp vốn: Hiện nay được thực hiện theo luật doanh nghiệp mới: Luật số 68/2014/QH13 (Hiệu lưc từ 1/7/2015)</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Công ty TNHH (1TV, 2 TV), Công ty cổ phần: Thời hạn góp vố là 90 ngày kể từ ngày được cấp giấy phép đăng ký KD)</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(trước đây thời hạn của cty TNHH là 36 tháng -&gt; các công ty TNHH thành lập trước ngày 1/7/2015 vẫn được góp trong vòng 36 tháng)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Tại điều 23 - của NĐ 155/2013/NĐ-CP - Quy định xử phạt vi hành trong lĩnh vực kế hoạch và đầu tư ( HL: 1/1/2014) thì:</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1. Phạt tiền từ 5.000.000 đồng đến 10.000.000 đồng đối với một trong các hành vi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a) Tiếp tục hoạt động khi đã kết thúc thời hạn hoạt động ghi trong Điều lệ mà không được gia hạn;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lastRenderedPageBreak/>
        <w:t>b) Không góp đúng hạn số vốn đã đăng ký.</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2. Phạt tiền từ 10.000.000 đồng đến 20.000.000 đồng đối với hành vi không góp đủ số vốn như đã đăng ký.</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5. Chi phụ cấp cho người lao động đi công tác phí </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Chi phụ cấp cho người lao động đi công tác, chi phí đi lại và tiền thuê chỗ ở cho người lao động đi công tác nếu có đầy đủ hóa đơn, chứng 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chi khoán tiền đi lại, tiền ở, tiền phụ cấp.</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Có hóa đơn, chứng từ phù hợp do người cung cấp hàng hóa, dịch vụ giao xuất.</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Doanh nghiệp có quyết định hoặc văn bản cử người lao động đi công tác.</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6. Chi khấu hao tài sản cố định sẽ bị loại trong các trường hợp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a) Chi khấu hao đối với tài sản cố định không sử dụng cho hoạt động sản xuất, kinh doanh hàng hóa, dịch vụ.</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tính vào chi phí được trừ khi xác định thu nhập chịu thuế.</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b) Chi khấu hao đối với tài sản cố định không có giấy tờ chứng minh thuộc quyền sở hữu của doanh nghiệp (trừ tài sản cố định thuê mua tài chính). Ví dụ như mua ô tô: Doanh nghiệp phải làm thủ tục sang tên đổi chủ, để đứng tên doanh nghiệp sở hưu thì chi phí khấu hao mới được tính vào chi phí được trừ)</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 Chi khấu hao đối với tài sản cố định không được quản lý, theo dõi, hạch toán trong sổ sách kế toán của doanh nghiệp theo chế độ quản lý tài sản cố định và hạch toán kế toán hiện hành.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d) Phần trích khấu hao vượt mức quy định hiện hành của Bộ Tài chính về chế độ quản lý, sử dụng và trích khấu hao tài sản cố định. (Vượt khung quy định tại thông tư 45/2013/TT-BTC quy định về tài sản cố định)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xml:space="preserve">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w:t>
      </w:r>
      <w:r w:rsidRPr="009C4F2F">
        <w:rPr>
          <w:rFonts w:ascii="Arial" w:eastAsia="Times New Roman" w:hAnsi="Arial" w:cs="Arial"/>
          <w:color w:val="474747"/>
          <w:sz w:val="20"/>
          <w:szCs w:val="20"/>
        </w:rPr>
        <w:lastRenderedPageBreak/>
        <w:t>khấu hao tài sản cố định. Khi thực hiện trích khấu hao nhanh, doanh nghiệp phải đảm bảo kinh doanh có lãi.</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Đối với tài sản cố định tự làm nguyên giá tài sản cố định được trích khấu hao tính vào chi phí được trừ là tổng các chi phí sản xuất để hình thành nên tài sản đó.</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đ) Khấu hao đối với tài sản cố định đã khấu hao hết giá trị.</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e) Một số trường hợp cụ thể được xác định như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 Xe đối với ô tô chở người từ 9 chỗ ngồi trở xuống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Không được tính vào chi phí được trừ khi xác định thu nhập chịu thuế: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b/>
          <w:bCs/>
          <w:color w:val="3366FF"/>
          <w:sz w:val="20"/>
          <w:szCs w:val="20"/>
        </w:rPr>
        <w:t>* Khấu hao đối với công trình trên đất</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Công trình trên đất được quản lý, theo dõi hạch toán theo quy định hiện hành về quản lý tài sản cố định.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Doanh nghiệp phải lưu giữ và cung cấp đầy đủ hồ sơ, lý do của việc tạm dừng tài sản cố định khi cơ quan thuế yêu cầu.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xml:space="preserve">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w:t>
      </w:r>
      <w:r w:rsidRPr="009C4F2F">
        <w:rPr>
          <w:rFonts w:ascii="Arial" w:eastAsia="Times New Roman" w:hAnsi="Arial" w:cs="Arial"/>
          <w:color w:val="474747"/>
          <w:sz w:val="20"/>
          <w:szCs w:val="20"/>
        </w:rPr>
        <w:lastRenderedPageBreak/>
        <w:t>thì giá trị quyền sử dụng được xác định theo giá do Ủy ban nhân dân tỉnh, thành phố trực thuộc trung ương quy định tại thời điểm mua tài sản.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7. Chi tiền thuê tài sản của cá nhân không có đầy đủ hồ sơ, chứng từ dưới đây:</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Trường hợp doanh nghiệp thuê tài sản của cá nhân thì hồ sơ để xác định chi phí được trừ là hợp đồng thuê tài sản và chứng từ trả tiền thuê tài sản.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Trường hợp doanh nghiệp thuê tài sản của cá nhân mà tại hợp đồng thuê tài sản có thoả thuận doanh nghiệp nộp thuế thay cho cá nhân thì hồ sơ để xác định chi phí được trừ là hợp đồng thuê tài sản, chứng từ trả tiền thuê tài sản và chứng từ nộp thuế thay cho cá nhân.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chí phí được trừ tổng số tiền thuê tài sản bao gồm cả phần thuế nộp thay cho cá nhân.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8. Phần chi phí thuê tài sản cố định vượt quá mức phân bổ theo số năm mà bên đi thuê trả tiền trước.</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9. Chi nguyên liệu, vật liệu, nhiên liệu, năng lượng, hàng hóa phần vượt mức tiêu hao hợp lý.</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10. Chi trả tiền điện, tiền nước đối với những hợp đồng điện nước mang tên chủ nhà cho thuê địa điểm sản xuất, kinh doanh.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11. Các khoản tiền phạt về vi phạm hành chính bị loại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khác theo quy định của pháp luật.</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12. Các loại thuế:</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Thuế giá trị gia tăng đầu vào đã được khấu trừ hoặc hoàn thuế; thuế giá trị gia tăng đầu vào của tài sản cố định là ô tô từ 9 chỗ ngồi trở xuống vượt mức quy định được khấu trừ theo quy định tại các văn bản pháp luật về thuế giá trị gia tăng.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Chú ý: Số thuế GTGT đầu vào không được khấu trừ, cơ sở kinh doanh được hạch toán vào chi phí để tính thuế thu nhập doanh nghiệp hoặc tính vào nguyên giá của tài sản cố định,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Ngoại trừ 2 trường hợp không được tính vào chi phí được trừ:</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Mua hàng có giá trị từ 20 triệu đồng trở lên không có chứng từ thanh toán không dùng tiền mặt.</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Phần thuế GTGT không được khấu trừ của ô tô dưới 9 chỗ ngồi chờ người mà doanh nghiệp không chuyên kinh doanh vận tải, du lịch, khách sạn.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Theo khoản 9 của điều 14 TT 219/2013/TT-BTC</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Thuế thu nhập doanh nghiệp trừ trường hợp doanh nghiệp nộp thay thuế thu nhập doanh nghiệp của nhà thầu nước ngoài mà theo thỏa thuận tại hợp đồng nhà thầu, nhà thầu phụ nước ngoài, doanh thu nhà thầu, nhà thầu phụ nước ngoài nhận được không bao gồm thuế thu nhập doanh nghiệp;</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Thuế thu nhập cá nhân trừ trường hợp doanh nghiệp ký hợp đồng lao động quy định tiền lương, tiền công trả cho người lao động không bao gồm thuế thu nhập cá nhân.</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13. Phần chi vượt mức 01 triệu đồng/tháng/người để: Trích nộp quỹ hưu trí tự nguyện, mua bảo hiểm hưu trí tự nguyện cho người lao động.</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14. 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phẩm, hàng hóa, công trình xây lắp và dự phòng rủi ro nghề nghiệp của doanh nghiệp thẩm định giá, doanh nghiệp cung cấp dịch vụ kiểm toán độc lập.</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15.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16. Chi về đầu tư xây dựng cơ bản trong giai đoạn đầu tư để hình thành tài sản cố định.</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 xml:space="preserve">Khi bắt đầu hoạt động sản xuất kinh doanh, doanh nghiệp chưa phát sinh doanh thu nhưng có phát sinh các khoản chi thường xuyên để duy trì hoạt động sản xuất kinh doanh của doanh nghiệp (không phải là </w:t>
      </w:r>
      <w:r w:rsidRPr="009C4F2F">
        <w:rPr>
          <w:rFonts w:ascii="Arial" w:eastAsia="Times New Roman" w:hAnsi="Arial" w:cs="Arial"/>
          <w:color w:val="474747"/>
          <w:sz w:val="20"/>
          <w:szCs w:val="20"/>
        </w:rPr>
        <w:lastRenderedPageBreak/>
        <w:t>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9C4F2F" w:rsidRPr="009C4F2F" w:rsidRDefault="009C4F2F" w:rsidP="009C4F2F">
      <w:pPr>
        <w:shd w:val="clear" w:color="auto" w:fill="FFFFFF"/>
        <w:spacing w:after="0" w:line="240" w:lineRule="auto"/>
        <w:rPr>
          <w:rFonts w:ascii="Arial" w:eastAsia="Times New Roman" w:hAnsi="Arial" w:cs="Arial"/>
          <w:color w:val="474747"/>
          <w:sz w:val="20"/>
          <w:szCs w:val="20"/>
        </w:rPr>
      </w:pPr>
      <w:r w:rsidRPr="009C4F2F">
        <w:rPr>
          <w:rFonts w:ascii="Arial" w:eastAsia="Times New Roman" w:hAnsi="Arial" w:cs="Arial"/>
          <w:color w:val="474747"/>
          <w:sz w:val="20"/>
          <w:szCs w:val="20"/>
        </w:rPr>
        <w:t>Trường hợp trong giai đoạn đầu tư, doanh nghiệp có phát sinh khoản chi trả tiền vay thì khoản chi này được tính vào giá trị đầu tư. Trường hợp trong giai đoạn đầu tư,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415AA9" w:rsidRDefault="00415AA9" w:rsidP="00415AA9">
      <w:pPr>
        <w:jc w:val="both"/>
        <w:rPr>
          <w:rFonts w:ascii="Segoe UI" w:hAnsi="Segoe UI" w:cs="Segoe UI"/>
          <w:sz w:val="28"/>
          <w:szCs w:val="28"/>
        </w:rPr>
      </w:pPr>
    </w:p>
    <w:p w:rsidR="009C4F2F" w:rsidRPr="009C4F2F" w:rsidRDefault="009C4F2F" w:rsidP="009C4F2F">
      <w:pPr>
        <w:pStyle w:val="NormalWeb"/>
        <w:shd w:val="clear" w:color="auto" w:fill="FFFFFF"/>
        <w:spacing w:before="0" w:beforeAutospacing="0" w:after="150" w:afterAutospacing="0"/>
        <w:jc w:val="both"/>
        <w:rPr>
          <w:rFonts w:ascii="Arial" w:hAnsi="Arial" w:cs="Arial"/>
          <w:color w:val="525252"/>
          <w:sz w:val="36"/>
          <w:szCs w:val="36"/>
        </w:rPr>
      </w:pPr>
      <w:r w:rsidRPr="009C4F2F">
        <w:rPr>
          <w:rStyle w:val="Strong"/>
          <w:rFonts w:ascii="Helvetica" w:hAnsi="Helvetica" w:cs="Helvetica"/>
          <w:color w:val="525252"/>
          <w:sz w:val="36"/>
          <w:szCs w:val="36"/>
        </w:rPr>
        <w:t>+)</w:t>
      </w:r>
      <w:r w:rsidRPr="009C4F2F">
        <w:rPr>
          <w:rStyle w:val="Strong"/>
          <w:rFonts w:ascii="Helvetica" w:hAnsi="Helvetica" w:cs="Helvetica"/>
          <w:color w:val="525252"/>
          <w:sz w:val="36"/>
          <w:szCs w:val="36"/>
        </w:rPr>
        <w:t>Doanh thu để tính thu nhập chịu thuế</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Khoản 1 Điều 5 </w:t>
      </w:r>
      <w:hyperlink r:id="rId11" w:history="1">
        <w:r>
          <w:rPr>
            <w:rStyle w:val="Hyperlink"/>
            <w:rFonts w:ascii="Helvetica" w:hAnsi="Helvetica" w:cs="Helvetica"/>
            <w:color w:val="337AB7"/>
          </w:rPr>
          <w:t>Thông tư 78/2014/TT-BTC</w:t>
        </w:r>
      </w:hyperlink>
      <w:r>
        <w:rPr>
          <w:rFonts w:ascii="Helvetica" w:hAnsi="Helvetica" w:cs="Helvetica"/>
          <w:color w:val="525252"/>
        </w:rPr>
        <w:t>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“Doanh thu để tính thu nhập chịu thuế là toàn bộ tiền bán hàng hóa, tiền gia công, tiền cung cấp dịch vụ bao gồm cả khoản trợ giá, phụ thu, phụ trội mà doanh nghiệp được hưởng không phân biệt đã thu được tiền hay chưa thu được tiền.”</w:t>
      </w:r>
    </w:p>
    <w:p w:rsidR="009C4F2F" w:rsidRDefault="009C4F2F" w:rsidP="009C4F2F">
      <w:pPr>
        <w:pStyle w:val="Heading2"/>
        <w:shd w:val="clear" w:color="auto" w:fill="FFFFFF"/>
        <w:spacing w:before="300" w:beforeAutospacing="0" w:after="150" w:afterAutospacing="0"/>
        <w:jc w:val="both"/>
        <w:rPr>
          <w:rFonts w:ascii="Arial" w:hAnsi="Arial" w:cs="Arial"/>
          <w:b w:val="0"/>
          <w:bCs w:val="0"/>
          <w:color w:val="525252"/>
          <w:sz w:val="45"/>
          <w:szCs w:val="45"/>
        </w:rPr>
      </w:pPr>
      <w:r>
        <w:rPr>
          <w:rStyle w:val="Strong"/>
          <w:rFonts w:ascii="Helvetica" w:hAnsi="Helvetica" w:cs="Helvetica"/>
          <w:b/>
          <w:bCs/>
          <w:color w:val="000000"/>
          <w:sz w:val="28"/>
          <w:szCs w:val="28"/>
        </w:rPr>
        <w:t xml:space="preserve">1. </w:t>
      </w:r>
      <w:r>
        <w:rPr>
          <w:rStyle w:val="Strong"/>
          <w:rFonts w:ascii="Helvetica" w:hAnsi="Helvetica" w:cs="Helvetica"/>
          <w:b/>
          <w:bCs/>
          <w:color w:val="000000"/>
          <w:sz w:val="28"/>
          <w:szCs w:val="28"/>
        </w:rPr>
        <w:t>Thu nhập từ hoạt động sản xuất kinh doanh hàng hóa, dịch vụ</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Khoản 2 Điều 4 </w:t>
      </w:r>
      <w:hyperlink r:id="rId12" w:tgtFrame="_blank" w:history="1">
        <w:r>
          <w:rPr>
            <w:rStyle w:val="Hyperlink"/>
            <w:rFonts w:ascii="Helvetica" w:hAnsi="Helvetica" w:cs="Helvetica"/>
            <w:color w:val="337AB7"/>
          </w:rPr>
          <w:t>Thông tư 78/2014/TT-BTC</w:t>
        </w:r>
      </w:hyperlink>
      <w:r>
        <w:rPr>
          <w:rFonts w:ascii="Helvetica" w:hAnsi="Helvetica" w:cs="Helvetica"/>
          <w:color w:val="525252"/>
        </w:rPr>
        <w:t>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sz w:val="21"/>
          <w:szCs w:val="21"/>
        </w:rPr>
        <w:t>“Thu nhập từ hoạt động sản xuất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9C4F2F" w:rsidRDefault="009C4F2F" w:rsidP="009C4F2F">
      <w:pPr>
        <w:pStyle w:val="Heading2"/>
        <w:shd w:val="clear" w:color="auto" w:fill="FFFFFF"/>
        <w:spacing w:before="300" w:beforeAutospacing="0" w:after="150" w:afterAutospacing="0"/>
        <w:jc w:val="both"/>
        <w:rPr>
          <w:rFonts w:ascii="Arial" w:hAnsi="Arial" w:cs="Arial"/>
          <w:b w:val="0"/>
          <w:bCs w:val="0"/>
          <w:color w:val="525252"/>
          <w:sz w:val="45"/>
          <w:szCs w:val="45"/>
        </w:rPr>
      </w:pPr>
      <w:r>
        <w:rPr>
          <w:rStyle w:val="Strong"/>
          <w:rFonts w:ascii="Helvetica" w:hAnsi="Helvetica" w:cs="Helvetica"/>
          <w:b/>
          <w:bCs/>
          <w:color w:val="000000"/>
          <w:sz w:val="28"/>
          <w:szCs w:val="28"/>
        </w:rPr>
        <w:t xml:space="preserve">2. </w:t>
      </w:r>
      <w:r>
        <w:rPr>
          <w:rStyle w:val="Strong"/>
          <w:rFonts w:ascii="Helvetica" w:hAnsi="Helvetica" w:cs="Helvetica"/>
          <w:b/>
          <w:bCs/>
          <w:color w:val="000000"/>
          <w:sz w:val="28"/>
          <w:szCs w:val="28"/>
        </w:rPr>
        <w:t>Thu nhập khác</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Đoạn 1 Điều 7 Thông tư 78/2104/TT-BTC có quy định như sau:</w:t>
      </w:r>
      <w:r>
        <w:rPr>
          <w:rFonts w:ascii="Arial" w:hAnsi="Arial" w:cs="Arial"/>
          <w:color w:val="525252"/>
          <w:sz w:val="21"/>
          <w:szCs w:val="21"/>
        </w:rPr>
        <w:br/>
      </w:r>
      <w:r>
        <w:rPr>
          <w:rStyle w:val="Emphasis"/>
          <w:rFonts w:ascii="Helvetica" w:hAnsi="Helvetica" w:cs="Helvetica"/>
          <w:color w:val="525252"/>
        </w:rPr>
        <w:t>” Thu nhập khác là các khoản thu nhập chịu thuế trong kỳ tính thuế mà khoản thu nhập này không thuộc các ngành nghề, lĩnh vực kinh doanh ghi trong đăng ký kinh doanh của doanh nghiệp.”</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w:t>
      </w:r>
      <w:hyperlink r:id="rId13" w:tgtFrame="_blank" w:history="1">
        <w:r>
          <w:rPr>
            <w:rStyle w:val="Hyperlink"/>
            <w:rFonts w:ascii="Helvetica" w:hAnsi="Helvetica" w:cs="Helvetica"/>
            <w:b/>
            <w:bCs/>
            <w:color w:val="337AB7"/>
          </w:rPr>
          <w:t>Thông tư 96/2015/TT-BTC</w:t>
        </w:r>
      </w:hyperlink>
      <w:r>
        <w:rPr>
          <w:rFonts w:ascii="Helvetica" w:hAnsi="Helvetica" w:cs="Helvetica"/>
          <w:color w:val="525252"/>
        </w:rPr>
        <w:t> sửa đổi bổ sung </w:t>
      </w:r>
      <w:hyperlink r:id="rId14" w:tgtFrame="_blank" w:history="1">
        <w:r>
          <w:rPr>
            <w:rStyle w:val="Hyperlink"/>
            <w:rFonts w:ascii="Helvetica" w:hAnsi="Helvetica" w:cs="Helvetica"/>
            <w:b/>
            <w:bCs/>
            <w:color w:val="337AB7"/>
          </w:rPr>
          <w:t>Thông tư 78/2014/TT-BTC</w:t>
        </w:r>
      </w:hyperlink>
      <w:r>
        <w:rPr>
          <w:rFonts w:ascii="Helvetica" w:hAnsi="Helvetica" w:cs="Helvetica"/>
          <w:color w:val="525252"/>
        </w:rPr>
        <w:t> đã bỏ quy định trên tại Đoạn 1 Điều 7 </w:t>
      </w:r>
      <w:r>
        <w:rPr>
          <w:rStyle w:val="Strong"/>
          <w:rFonts w:ascii="Helvetica" w:hAnsi="Helvetica" w:cs="Helvetica"/>
          <w:color w:val="525252"/>
        </w:rPr>
        <w:t>Thông tư 78/2014/TT-BTC</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Thu nhập khác bao gồm các khoản thu nhập sau:</w:t>
      </w:r>
    </w:p>
    <w:p w:rsidR="009C4F2F" w:rsidRDefault="009C4F2F"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Pr>
          <w:rStyle w:val="Strong"/>
          <w:rFonts w:ascii="Helvetica" w:hAnsi="Helvetica" w:cs="Helvetica"/>
          <w:b/>
          <w:bCs/>
          <w:color w:val="525252"/>
          <w:sz w:val="24"/>
          <w:szCs w:val="24"/>
        </w:rPr>
        <w:t>.1. Thu nhập từ chuyển nhượng vốn, chuyển nhượng chứng khoán</w:t>
      </w:r>
    </w:p>
    <w:p w:rsidR="009C4F2F" w:rsidRDefault="009C4F2F" w:rsidP="009C4F2F">
      <w:pPr>
        <w:numPr>
          <w:ilvl w:val="0"/>
          <w:numId w:val="1"/>
        </w:numPr>
        <w:shd w:val="clear" w:color="auto" w:fill="FFFFFF"/>
        <w:spacing w:before="100" w:beforeAutospacing="1" w:after="100" w:afterAutospacing="1" w:line="240" w:lineRule="auto"/>
        <w:jc w:val="both"/>
        <w:rPr>
          <w:rFonts w:ascii="Arial" w:hAnsi="Arial" w:cs="Arial"/>
          <w:color w:val="525252"/>
          <w:sz w:val="21"/>
          <w:szCs w:val="21"/>
        </w:rPr>
      </w:pPr>
      <w:r>
        <w:rPr>
          <w:rFonts w:ascii="Helvetica" w:hAnsi="Helvetica" w:cs="Helvetica"/>
          <w:color w:val="525252"/>
        </w:rPr>
        <w:t>Thu nhập từ chuyển nhượng vốn của doanh nghiệp là thu nhập có được từ chuyển nhượng một phần hoặc toàn bộ số vốn của doanh nghiệp đã đầu tư cho một hoặc nhiều tổ chức, cá nhân khác(bao gồm cả trường hợp bán doanh nghiệp)</w:t>
      </w:r>
    </w:p>
    <w:p w:rsidR="009C4F2F" w:rsidRDefault="009C4F2F" w:rsidP="009C4F2F">
      <w:pPr>
        <w:numPr>
          <w:ilvl w:val="0"/>
          <w:numId w:val="1"/>
        </w:numPr>
        <w:shd w:val="clear" w:color="auto" w:fill="FFFFFF"/>
        <w:spacing w:before="100" w:beforeAutospacing="1" w:after="100" w:afterAutospacing="1" w:line="240" w:lineRule="auto"/>
        <w:jc w:val="both"/>
        <w:rPr>
          <w:rFonts w:ascii="Arial" w:hAnsi="Arial" w:cs="Arial"/>
          <w:color w:val="525252"/>
          <w:sz w:val="21"/>
          <w:szCs w:val="21"/>
        </w:rPr>
      </w:pPr>
      <w:r>
        <w:rPr>
          <w:rFonts w:ascii="Helvetica" w:hAnsi="Helvetica" w:cs="Helvetica"/>
          <w:color w:val="525252"/>
        </w:rPr>
        <w:t>Thu nhập từ chuyển nhượng chứng khoán là thu nhập có được từ việc chuyển nhượng cổ phiếu, trái phiếu, chứng chỉ quỹ và các loại chứng khoán khác theo quy định.</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 xml:space="preserve">Để hiểu chi tiết hơn về căn cứ tính thu nhập tính thuế thu nhập doanh nghiệp đối với các khoản thu nhập từ chuyển nhượng vốn, chuyển nhượng chứng khoán mời bạn </w:t>
      </w:r>
    </w:p>
    <w:p w:rsidR="009C4F2F" w:rsidRDefault="009C4F2F"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lastRenderedPageBreak/>
        <w:t>2</w:t>
      </w:r>
      <w:r>
        <w:rPr>
          <w:rStyle w:val="Strong"/>
          <w:rFonts w:ascii="Helvetica" w:hAnsi="Helvetica" w:cs="Helvetica"/>
          <w:b/>
          <w:bCs/>
          <w:color w:val="525252"/>
          <w:sz w:val="24"/>
          <w:szCs w:val="24"/>
        </w:rPr>
        <w:t>.2. Thu nhập từ chuyển nhượng dự án đầu tư, chuyển nhượng quyền tham gia dự án đầu tư; chuyển nhượng quyền thăm dò, khai thác, chế biến khoáng sản theo quy định của pháp luật.</w:t>
      </w:r>
    </w:p>
    <w:p w:rsidR="009C4F2F" w:rsidRDefault="009C4F2F"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3.3. Thu nhập từ quyền sở hữu, quyền sử dụng tài sản</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Khoản 4 Điều 7 Thông tư 78/2104/TT-BTC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 Thu nhập từ quyền sở hữu, quyền sử dụng tài sản bao gồm cả tiền thu về bản quyền dưới mọi hình thức trả cho quyền sở hữu, quyền sử dụng tài sản; thu nhập về quyền sở hữu trí tuệ; thu nhập từ chuyển giao công nghệ theo quy định của pháp luật.</w:t>
      </w:r>
      <w:r>
        <w:rPr>
          <w:rFonts w:ascii="Helvetica" w:hAnsi="Helvetica" w:cs="Helvetica"/>
          <w:i/>
          <w:iCs/>
          <w:color w:val="525252"/>
        </w:rPr>
        <w:br/>
      </w:r>
      <w:r>
        <w:rPr>
          <w:rStyle w:val="Emphasis"/>
          <w:rFonts w:ascii="Helvetica" w:hAnsi="Helvetica" w:cs="Helvetica"/>
          <w:color w:val="525252"/>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9C4F2F" w:rsidRDefault="009C4F2F"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Pr>
          <w:rStyle w:val="Strong"/>
          <w:rFonts w:ascii="Helvetica" w:hAnsi="Helvetica" w:cs="Helvetica"/>
          <w:b/>
          <w:bCs/>
          <w:color w:val="525252"/>
          <w:sz w:val="24"/>
          <w:szCs w:val="24"/>
        </w:rPr>
        <w:t>.4. Thu nhập từ cho thuê tài sản dưới mọi hình thức</w:t>
      </w:r>
    </w:p>
    <w:p w:rsidR="009C4F2F" w:rsidRDefault="009C4F2F"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Pr>
          <w:rStyle w:val="Strong"/>
          <w:rFonts w:ascii="Helvetica" w:hAnsi="Helvetica" w:cs="Helvetica"/>
          <w:b/>
          <w:bCs/>
          <w:color w:val="525252"/>
          <w:sz w:val="24"/>
          <w:szCs w:val="24"/>
        </w:rPr>
        <w:t>.5. Thu nhập từ chuyển nhượng tài sản, thanh lý tài sản (trừ bất động sản), các loại giấy tờ có giá khác</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Strong"/>
          <w:rFonts w:ascii="Helvetica" w:hAnsi="Helvetica" w:cs="Helvetica"/>
          <w:color w:val="525252"/>
          <w:sz w:val="21"/>
          <w:szCs w:val="21"/>
        </w:rPr>
        <w:t>2</w:t>
      </w:r>
      <w:r>
        <w:rPr>
          <w:rStyle w:val="Strong"/>
          <w:rFonts w:ascii="Helvetica" w:hAnsi="Helvetica" w:cs="Helvetica"/>
          <w:color w:val="525252"/>
          <w:sz w:val="21"/>
          <w:szCs w:val="21"/>
        </w:rPr>
        <w:t>.6. Thu nhập từ lãi tiền gửi, lãi cho vay vốn</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Khoản 7 Điều 7 Thông tư 78/2104/TT-BTC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 Thu nhập từ lãi tiền gửi, lãi cho vay vốn bao gồm cả tiền lãi trả chậm, lãi trả góp, phí bảo lãnh tín dụng và các khoản phí khác trong hợp đồng cho vay vốn.</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Style w:val="Emphasis"/>
          <w:rFonts w:ascii="Helvetica" w:hAnsi="Helvetica" w:cs="Helvetica"/>
          <w:color w:val="525252"/>
        </w:rPr>
        <w:t>– Trường hợp khoản thu từ lãi tiền gửi, lãi cho vay vốn phát sinh cao hơn các khoản chi trả lãi tiền vay theo quy định, sau khi bù trừ, phần chênh lệch còn lại tính vào thu nhập khác khi xác định thu nhập chịu thuế.</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Style w:val="Emphasis"/>
          <w:rFonts w:ascii="Helvetica" w:hAnsi="Helvetica" w:cs="Helvetica"/>
          <w:color w:val="525252"/>
        </w:rPr>
        <w:t>– Trường hợp khoản thu từ lãi tiền gửi, lãi cho vay vốn phát sinh thấp hơn các khoản chi trả lãi tiền vay theo quy định, sau khi bù trừ, phần chênh lệch còn lại giảm trừ vào thu nhập sản xuất kinh doanh chính khi xác định thu nhập chịu thuế.”</w:t>
      </w:r>
    </w:p>
    <w:p w:rsidR="009C4F2F" w:rsidRDefault="009C4F2F"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Pr>
          <w:rStyle w:val="Strong"/>
          <w:rFonts w:ascii="Helvetica" w:hAnsi="Helvetica" w:cs="Helvetica"/>
          <w:b/>
          <w:bCs/>
          <w:color w:val="525252"/>
          <w:sz w:val="24"/>
          <w:szCs w:val="24"/>
        </w:rPr>
        <w:t>.7. Thu nhập từ hoạt động bán ngoại tệ</w:t>
      </w:r>
    </w:p>
    <w:p w:rsidR="009C4F2F" w:rsidRDefault="009C4F2F"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Pr>
          <w:rStyle w:val="Strong"/>
          <w:rFonts w:ascii="Helvetica" w:hAnsi="Helvetica" w:cs="Helvetica"/>
          <w:b/>
          <w:bCs/>
          <w:color w:val="525252"/>
          <w:sz w:val="24"/>
          <w:szCs w:val="24"/>
        </w:rPr>
        <w:t>.8. Thu nhập từ chênh lệch tỷ giá</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Trong năm tính thuế thu nhập doanh nghiệp có chênh lệch tỷ giá phát sinh trong kỳ và chênh lêch tỷ giá do đánh giá lại các khoản nợ phải trả có gốc ngoại tệ cuối năm tài chính.</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Việc ghi nhận chênh lệch tỷ giá này đã có sự thay đổi theo Thông tư 96/2015/TT-BTC sửa đổi bổ sung Thông tư 78/2014/TT-BTC</w:t>
      </w:r>
    </w:p>
    <w:p w:rsidR="009C4F2F" w:rsidRDefault="009C4F2F"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Pr>
          <w:rStyle w:val="Strong"/>
          <w:rFonts w:ascii="Helvetica" w:hAnsi="Helvetica" w:cs="Helvetica"/>
          <w:b/>
          <w:bCs/>
          <w:color w:val="525252"/>
          <w:sz w:val="24"/>
          <w:szCs w:val="24"/>
        </w:rPr>
        <w:t>.9. Khoản nợ khó đòi đã xóa nay đòi được</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lastRenderedPageBreak/>
        <w:t>2</w:t>
      </w:r>
      <w:r w:rsidR="009C4F2F">
        <w:rPr>
          <w:rStyle w:val="Strong"/>
          <w:rFonts w:ascii="Helvetica" w:hAnsi="Helvetica" w:cs="Helvetica"/>
          <w:b/>
          <w:bCs/>
          <w:color w:val="525252"/>
          <w:sz w:val="24"/>
          <w:szCs w:val="24"/>
        </w:rPr>
        <w:t>.10. Khoản nợ phải trả không xác định được chủ nợ</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.11. Thu nhập từ hoạt động sản xuất kinh doanh của những năm trước bị bỏ sót phát hiện ra</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.12. Các khoản tiền thu về tiền phạt, tiền bồi thường</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Khoản 13 Điều 7 </w:t>
      </w:r>
      <w:r>
        <w:rPr>
          <w:rStyle w:val="Strong"/>
          <w:rFonts w:ascii="Helvetica" w:hAnsi="Helvetica" w:cs="Helvetica"/>
          <w:color w:val="525252"/>
        </w:rPr>
        <w:t>Thông tư 78/2014/TT-BTC</w:t>
      </w:r>
      <w:r>
        <w:rPr>
          <w:rFonts w:ascii="Helvetica" w:hAnsi="Helvetica" w:cs="Helvetica"/>
          <w:color w:val="525252"/>
        </w:rPr>
        <w:t>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 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vào thu nhập khác.</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Style w:val="Emphasis"/>
          <w:rFonts w:ascii="Helvetica" w:hAnsi="Helvetica" w:cs="Helvetica"/>
          <w:color w:val="525252"/>
        </w:rPr>
        <w:t>Trường hợp doanh nghiệp có khoản thu về tiền phạt, tiền bồi thường do bên đối tác vi phạm hợp đồng hoặc các khoản thưởng do thực hiện tốt cam kết theo hợp đồng phát sinh thấp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Style w:val="Emphasis"/>
          <w:rFonts w:ascii="Helvetica" w:hAnsi="Helvetica" w:cs="Helvetica"/>
          <w:color w:val="525252"/>
        </w:rPr>
        <w:t>Các khoản thu về tiền phạt, tiền bồi thường nêu trên không bao gồm các khoản tiền phạt, tiền bồi thường được ghi giảm giá trị công trình trong giai đoạn đầu tư.”</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.13. Chênh lệch do đánh giá lại tài sản </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Fonts w:ascii="Helvetica" w:hAnsi="Helvetica" w:cs="Helvetica"/>
          <w:color w:val="525252"/>
        </w:rPr>
        <w:t>Theo Khoản 14 Điều 7 </w:t>
      </w:r>
      <w:hyperlink r:id="rId15" w:history="1">
        <w:r>
          <w:rPr>
            <w:rStyle w:val="Hyperlink"/>
            <w:rFonts w:ascii="Helvetica" w:hAnsi="Helvetica" w:cs="Helvetica"/>
            <w:color w:val="337AB7"/>
          </w:rPr>
          <w:t>Thông tư 78/2014/TT-BTC</w:t>
        </w:r>
      </w:hyperlink>
      <w:r>
        <w:rPr>
          <w:rFonts w:ascii="Helvetica" w:hAnsi="Helvetica" w:cs="Helvetica"/>
          <w:color w:val="525252"/>
        </w:rPr>
        <w:t> có quy định như sau:</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Style w:val="Emphasis"/>
          <w:rFonts w:ascii="Helvetica" w:hAnsi="Helvetica" w:cs="Helvetica"/>
          <w:color w:val="525252"/>
        </w:rPr>
        <w:t>” Chênh lệch do đánh giá lại tài sản theo quy định của pháp luật để góp vốn, để điều chuyển tài sản khi chia, tách, hợp nhất, sáp nhập, chuyển đổi loại hình doanh nghiệp, được xác định cụ thể …”</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Fonts w:ascii="Helvetica" w:hAnsi="Helvetica" w:cs="Helvetica"/>
          <w:color w:val="525252"/>
        </w:rPr>
        <w:t>Muốn biết quy định cụ thể về những khoản thu nhập do đánh giá lại tài sản, mời các bạn xem bài viết : </w:t>
      </w:r>
      <w:r>
        <w:rPr>
          <w:rFonts w:ascii="Helvetica" w:hAnsi="Helvetica" w:cs="Helvetica"/>
          <w:color w:val="FF0000"/>
        </w:rPr>
        <w:t>Thu nhập do chênh lệch đánh giá lại tài sản</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.14. Quà biếu, quà tặng bằng tiền, bằng hiện vật</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sz w:val="21"/>
          <w:szCs w:val="21"/>
        </w:rPr>
        <w:t>Theo Khoản 15 Điều 7 </w:t>
      </w:r>
      <w:hyperlink r:id="rId16" w:history="1">
        <w:r>
          <w:rPr>
            <w:rStyle w:val="Hyperlink"/>
            <w:rFonts w:ascii="Helvetica" w:hAnsi="Helvetica" w:cs="Helvetica"/>
            <w:b/>
            <w:bCs/>
            <w:color w:val="337AB7"/>
            <w:sz w:val="21"/>
            <w:szCs w:val="21"/>
          </w:rPr>
          <w:t>Thông tư 78/2014/TT-BTC</w:t>
        </w:r>
      </w:hyperlink>
      <w:r>
        <w:rPr>
          <w:rFonts w:ascii="Helvetica" w:hAnsi="Helvetica" w:cs="Helvetica"/>
          <w:color w:val="525252"/>
          <w:sz w:val="21"/>
          <w:szCs w:val="21"/>
        </w:rPr>
        <w:t> có quy định:</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 Quà biếu, quà tặng bằng tiền, bằng hiện vật; thu nhập nhận được bằng tiền, bằng hiện vật từ các nguồn tài trợ; thu nhập nhận được từ các khoản hỗ trợ tiếp thị, hỗ trợ chi phí, chiết khấu thanh toán, thưởng khuyến mại và các khoản hỗ trợ khác. Các khoản thu nhập nhận được bằng hiện vật thì giá trị của hiện vật được xác định bằng giá trị của hàng hóa, dịch vụ tương đương tại thời điểm nhận.”</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.15. Các khoản tiền, tài sản, lợi ích vật chất khác</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lastRenderedPageBreak/>
        <w:t>Theo Khoản 16 Điều 7 </w:t>
      </w:r>
      <w:hyperlink r:id="rId17" w:history="1">
        <w:r>
          <w:rPr>
            <w:rStyle w:val="Hyperlink"/>
            <w:rFonts w:ascii="Helvetica" w:hAnsi="Helvetica" w:cs="Helvetica"/>
            <w:color w:val="337AB7"/>
          </w:rPr>
          <w:t>Thông tư 78/2014/TT-BTC</w:t>
        </w:r>
      </w:hyperlink>
      <w:r>
        <w:rPr>
          <w:rFonts w:ascii="Helvetica" w:hAnsi="Helvetica" w:cs="Helvetica"/>
          <w:color w:val="525252"/>
        </w:rPr>
        <w:t> có quy định về các khoản thu nhập từ tiền, tài sản, lợi ích vật chất khác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w:t>
      </w:r>
      <w:r>
        <w:rPr>
          <w:rStyle w:val="Emphasis"/>
          <w:rFonts w:ascii="Helvetica" w:hAnsi="Helvetica" w:cs="Helvetica"/>
          <w:color w:val="525252"/>
          <w:sz w:val="21"/>
          <w:szCs w:val="21"/>
        </w:rPr>
        <w:t>Các khoản tiền, tài sản, lợi ích vật chất khác doanh nghiệp nhận được từ các tổ chức, cá nhân theo thỏa thuận, hợp đồng phù hợp với pháp luật dân sự do doanh nghiệp bàn giao lại vị trí đất cũ để di dời cơ sở sản xuất kinh doanh sau khi trừ các khoản chi phí liên quan như chi phí di dời (chi phí vận chuyển, lắp đặt), giá trị còn lại của tài sản cố định và các chi phí khác (nếu có).</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Style w:val="Emphasis"/>
          <w:rFonts w:ascii="Helvetica" w:hAnsi="Helvetica" w:cs="Helvetica"/>
          <w:color w:val="525252"/>
          <w:sz w:val="21"/>
          <w:szCs w:val="21"/>
        </w:rPr>
        <w:t>Riêng các khoản tiền, tài sản, lợi ích vật chất doanh nghiệp nhận được theo chính sách của Nhà nước, được cơ quan Nhà nước có thẩm quyền phê duyệt để di dời cơ sở sản xuất thì thực hiện quản lý, sử dụng theo quy định của pháp luật có liên quan.”</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.16. Các khoản trích trước vào chi phí</w:t>
      </w:r>
      <w:r w:rsidR="009C4F2F">
        <w:rPr>
          <w:rStyle w:val="Emphasis"/>
          <w:rFonts w:ascii="Helvetica" w:hAnsi="Helvetica" w:cs="Helvetica"/>
          <w:color w:val="525252"/>
          <w:sz w:val="24"/>
          <w:szCs w:val="24"/>
        </w:rPr>
        <w:t> </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Khoản 17 Điều 7 Thông tư 78/2104/TT-BTC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 Các khoản trích trước vào chi phí nhưng không sử dụng hoặc sử dụng không hết theo kỳ hạn trích lập mà doanh nghiệp không hạch toán điều chỉnh giảm chi phí; khoản hoàn nhập dự phòng bảo hành công trình xây dựng.”</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.17. Các khoản thu nhập liên quan đến việc tiêu thụ hàng hóa, cung cấp dịch vụ không tính trong doanh thu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Khoản 18 Điều 7 Thông tư 78/2014/TT-BTC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 Các khoản thu nhập liên quan đến việc tiêu thụ hàng hóa, cung cấp dịch vụ không tính trong doanh thu như: thưởng giải phóng tàu nhanh, tiền thưởng phục vụ trong ngành ăn uống, khách sạn sau khi đã trừ các khoản chi phí để tạo ra khoản thu nhập đó.”</w:t>
      </w:r>
    </w:p>
    <w:p w:rsidR="009C4F2F" w:rsidRDefault="00E0604A" w:rsidP="009C4F2F">
      <w:pPr>
        <w:pStyle w:val="Heading2"/>
        <w:shd w:val="clear" w:color="auto" w:fill="FFFFFF"/>
        <w:spacing w:before="300" w:beforeAutospacing="0" w:after="150" w:afterAutospacing="0"/>
        <w:jc w:val="both"/>
        <w:rPr>
          <w:rFonts w:ascii="Arial" w:hAnsi="Arial" w:cs="Arial"/>
          <w:b w:val="0"/>
          <w:bCs w:val="0"/>
          <w:color w:val="525252"/>
          <w:sz w:val="45"/>
          <w:szCs w:val="45"/>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.18. Thu nhập về tiêu thụ phế liệu, phế phẩm</w:t>
      </w:r>
      <w:r w:rsidR="009C4F2F">
        <w:rPr>
          <w:rStyle w:val="Emphasis"/>
          <w:rFonts w:ascii="Helvetica" w:hAnsi="Helvetica" w:cs="Helvetica"/>
          <w:color w:val="525252"/>
          <w:sz w:val="24"/>
          <w:szCs w:val="24"/>
        </w:rPr>
        <w:t> </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sz w:val="21"/>
          <w:szCs w:val="21"/>
        </w:rPr>
        <w:t>Theo Khoản 19 Điều 7 Thông tư 78/2014/TT-BTC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 Thu nhập về tiêu thụ phế liệu, phế phẩm sau khi đã trừ chi phí thu hồi và chi phí tiêu thụ, được xác định cụ thể như sau:</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Style w:val="Emphasis"/>
          <w:rFonts w:ascii="Helvetica" w:hAnsi="Helvetica" w:cs="Helvetica"/>
          <w:color w:val="525252"/>
        </w:rPr>
        <w:t>– Trường hợp doanh nghiệp phát sinh khoản thu nhập từ bán phế liệu, phế phẩm được tạo ra trong quá trình sản xuất của các sản phẩm đang được hưởng ưu đãi thuế thu nhập doanh nghiệp thì khoản thu nhập này được hưởng ưu đãi thuế thu nhập doanh nghiệp.</w:t>
      </w:r>
    </w:p>
    <w:p w:rsidR="009C4F2F" w:rsidRDefault="009C4F2F" w:rsidP="009C4F2F">
      <w:pPr>
        <w:pStyle w:val="NormalWeb"/>
        <w:shd w:val="clear" w:color="auto" w:fill="FFFFFF"/>
        <w:spacing w:before="0" w:beforeAutospacing="0" w:after="150" w:afterAutospacing="0"/>
        <w:rPr>
          <w:rFonts w:ascii="Arial" w:hAnsi="Arial" w:cs="Arial"/>
          <w:color w:val="525252"/>
          <w:sz w:val="21"/>
          <w:szCs w:val="21"/>
        </w:rPr>
      </w:pPr>
      <w:r>
        <w:rPr>
          <w:rStyle w:val="Emphasis"/>
          <w:rFonts w:ascii="Helvetica" w:hAnsi="Helvetica" w:cs="Helvetica"/>
          <w:color w:val="525252"/>
        </w:rPr>
        <w:t>– Trường hợp doanh nghiệp phát sinh khoản thu nhập từ bán phế liệu, phế phẩm được tạo ra trong quá trình sản xuất của các sản phẩm không được hưởng ưu đãi thuế thu nhập doanh nghiệp thì khoản thu nhập này được tính vào thu nhập khác.”</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19.</w:t>
      </w:r>
      <w:r w:rsidR="009C4F2F">
        <w:rPr>
          <w:rFonts w:ascii="Helvetica" w:hAnsi="Helvetica" w:cs="Helvetica"/>
          <w:b w:val="0"/>
          <w:bCs w:val="0"/>
          <w:color w:val="525252"/>
          <w:sz w:val="24"/>
          <w:szCs w:val="24"/>
        </w:rPr>
        <w:t> </w:t>
      </w:r>
      <w:r w:rsidR="009C4F2F">
        <w:rPr>
          <w:rStyle w:val="Strong"/>
          <w:rFonts w:ascii="Helvetica" w:hAnsi="Helvetica" w:cs="Helvetica"/>
          <w:b/>
          <w:bCs/>
          <w:color w:val="525252"/>
          <w:sz w:val="24"/>
          <w:szCs w:val="24"/>
        </w:rPr>
        <w:t>Khoản tiền hoàn thuế xuất khẩu, thuế nhập khẩu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Theo Khoản 20 Điều 7 Thông tư 78/2014/TT-BTC có quy định như sau:</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Style w:val="Emphasis"/>
          <w:rFonts w:ascii="Helvetica" w:hAnsi="Helvetica" w:cs="Helvetica"/>
          <w:color w:val="525252"/>
        </w:rPr>
        <w:t xml:space="preserve">” Khoản tiền hoàn thuế xuất khẩu, thuế nhập khẩu của hàng hóa đã thực xuất khẩu, thực nhập khẩu phát sinh ngay trong năm quyết toán thuế thu nhập doanh nghiệp thì được tính giảm trừ chi phí trong năm quyết toán đó. Trường hợp khoản tiền hoàn thuế </w:t>
      </w:r>
      <w:r>
        <w:rPr>
          <w:rStyle w:val="Emphasis"/>
          <w:rFonts w:ascii="Helvetica" w:hAnsi="Helvetica" w:cs="Helvetica"/>
          <w:color w:val="525252"/>
        </w:rPr>
        <w:lastRenderedPageBreak/>
        <w:t>xuất, nhập khẩu của hàng hóa đã thực xuất khẩu, thực nhập khẩu phát sinh của các năm quyết toán thuế thu nhập doanh nghiệp trước thì tính vào thu nhập khác của năm quyết toán phát sinh khoản thu nhập. Khoản thu nhập này liên quan trực tiếp đến lĩnh vực sản xuất kinh doanh đang được hưởng ưu đãi thuế thu nhập doanh nghiệp thì khoản thu nhập này được hưởng ưu đãi thuế thu nhập doanh nghiệp. Khoản thu nhập này không liên quan trực tiếp lĩnh vực sản xuất kinh doanh được hưởng ưu đãi thuế thu nhập doanh nghiệp thì khoản thu nhập này được tính vào thu nhập khác.”</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.20. Các khoản thu nhập từ các hoạt động góp vốn cổ phần, liên doanh, liên kết kinh tế trong nước được chia từ thu nhập trước khi nộp thuế thu nhập doanh nghiệp</w:t>
      </w:r>
    </w:p>
    <w:p w:rsidR="009C4F2F" w:rsidRDefault="00E0604A" w:rsidP="009C4F2F">
      <w:pPr>
        <w:pStyle w:val="Heading3"/>
        <w:shd w:val="clear" w:color="auto" w:fill="FFFFFF"/>
        <w:spacing w:before="300" w:beforeAutospacing="0" w:after="150" w:afterAutospacing="0"/>
        <w:jc w:val="both"/>
        <w:rPr>
          <w:rFonts w:ascii="Arial" w:hAnsi="Arial" w:cs="Arial"/>
          <w:b w:val="0"/>
          <w:bCs w:val="0"/>
          <w:color w:val="525252"/>
          <w:sz w:val="36"/>
          <w:szCs w:val="36"/>
        </w:rPr>
      </w:pPr>
      <w:r>
        <w:rPr>
          <w:rStyle w:val="Strong"/>
          <w:rFonts w:ascii="Helvetica" w:hAnsi="Helvetica" w:cs="Helvetica"/>
          <w:b/>
          <w:bCs/>
          <w:color w:val="525252"/>
          <w:sz w:val="24"/>
          <w:szCs w:val="24"/>
        </w:rPr>
        <w:t>2</w:t>
      </w:r>
      <w:r w:rsidR="009C4F2F">
        <w:rPr>
          <w:rStyle w:val="Strong"/>
          <w:rFonts w:ascii="Helvetica" w:hAnsi="Helvetica" w:cs="Helvetica"/>
          <w:b/>
          <w:bCs/>
          <w:color w:val="525252"/>
          <w:sz w:val="24"/>
          <w:szCs w:val="24"/>
        </w:rPr>
        <w:t>.21. Thu nhập nhận được từ hoạt động sản xuất, kinh doanh hàng hóa, dịch vụ ở nước ngoài</w:t>
      </w:r>
      <w:r w:rsidR="009C4F2F">
        <w:rPr>
          <w:rStyle w:val="Emphasis"/>
          <w:rFonts w:ascii="Helvetica" w:hAnsi="Helvetica" w:cs="Helvetica"/>
          <w:color w:val="525252"/>
          <w:sz w:val="24"/>
          <w:szCs w:val="24"/>
        </w:rPr>
        <w:t> </w:t>
      </w:r>
    </w:p>
    <w:p w:rsidR="009C4F2F" w:rsidRDefault="009C4F2F" w:rsidP="009C4F2F">
      <w:pPr>
        <w:pStyle w:val="NormalWeb"/>
        <w:shd w:val="clear" w:color="auto" w:fill="FFFFFF"/>
        <w:spacing w:before="0" w:beforeAutospacing="0" w:after="150" w:afterAutospacing="0"/>
        <w:jc w:val="both"/>
        <w:rPr>
          <w:rFonts w:ascii="Arial" w:hAnsi="Arial" w:cs="Arial"/>
          <w:color w:val="525252"/>
          <w:sz w:val="21"/>
          <w:szCs w:val="21"/>
        </w:rPr>
      </w:pPr>
      <w:r>
        <w:rPr>
          <w:rFonts w:ascii="Helvetica" w:hAnsi="Helvetica" w:cs="Helvetica"/>
          <w:color w:val="525252"/>
        </w:rPr>
        <w:t>Thông tư 96/2015/TT-BTC sửa đổi bổ sung Thông tư 78/2014/TT-BTC có hiệu lực từ ngày 06/08/2015 và áp dụng cho kỳ tính thuế năm 2015 đã có thay đổi như thế nào đối với thu nhập nhận được từ hoạt động sản xuất, kinh doanh hàng hóa, dịch vụ ở nước ngoài. Mời bạn tham khảo tại đây: </w:t>
      </w:r>
      <w:hyperlink r:id="rId18" w:history="1">
        <w:r>
          <w:rPr>
            <w:rStyle w:val="Hyperlink"/>
            <w:rFonts w:ascii="Helvetica" w:hAnsi="Helvetica" w:cs="Helvetica"/>
            <w:color w:val="337AB7"/>
          </w:rPr>
          <w:t>Qui định từ năm 2015: Thu nhập từ hoạt động đầu tư ở nước ngoài</w:t>
        </w:r>
      </w:hyperlink>
    </w:p>
    <w:p w:rsidR="009C4F2F" w:rsidRPr="003D55A3" w:rsidRDefault="00E0604A" w:rsidP="009C4F2F">
      <w:pPr>
        <w:pStyle w:val="Heading3"/>
        <w:shd w:val="clear" w:color="auto" w:fill="FFFFFF"/>
        <w:spacing w:before="300" w:beforeAutospacing="0" w:after="150" w:afterAutospacing="0"/>
        <w:jc w:val="both"/>
        <w:rPr>
          <w:rFonts w:ascii="Arial" w:hAnsi="Arial" w:cs="Arial"/>
          <w:bCs w:val="0"/>
          <w:color w:val="525252"/>
          <w:sz w:val="36"/>
          <w:szCs w:val="36"/>
        </w:rPr>
      </w:pPr>
      <w:r w:rsidRPr="003D55A3">
        <w:rPr>
          <w:rFonts w:ascii="Helvetica" w:hAnsi="Helvetica" w:cs="Helvetica"/>
          <w:bCs w:val="0"/>
          <w:color w:val="525252"/>
          <w:sz w:val="24"/>
          <w:szCs w:val="24"/>
        </w:rPr>
        <w:t>2</w:t>
      </w:r>
      <w:r w:rsidR="009C4F2F" w:rsidRPr="003D55A3">
        <w:rPr>
          <w:rFonts w:ascii="Helvetica" w:hAnsi="Helvetica" w:cs="Helvetica"/>
          <w:bCs w:val="0"/>
          <w:color w:val="525252"/>
          <w:sz w:val="24"/>
          <w:szCs w:val="24"/>
        </w:rPr>
        <w:t>.33. Các khoản thu nhập khác theo quy định của pháp luật</w:t>
      </w:r>
    </w:p>
    <w:p w:rsidR="009C4F2F" w:rsidRPr="003D55A3" w:rsidRDefault="003D55A3" w:rsidP="00415AA9">
      <w:pPr>
        <w:jc w:val="both"/>
        <w:rPr>
          <w:rFonts w:ascii="Segoe UI" w:hAnsi="Segoe UI" w:cs="Segoe UI"/>
          <w:b/>
          <w:sz w:val="28"/>
          <w:szCs w:val="28"/>
        </w:rPr>
      </w:pPr>
      <w:r>
        <w:rPr>
          <w:rFonts w:ascii="Segoe UI" w:hAnsi="Segoe UI" w:cs="Segoe UI"/>
          <w:b/>
          <w:sz w:val="28"/>
          <w:szCs w:val="28"/>
        </w:rPr>
        <w:t>VỀ THỜI ĐIỂM XUẤT HÓA ĐƠN VÀ GHI NHẬN DOANH THU:</w:t>
      </w:r>
    </w:p>
    <w:p w:rsidR="003D55A3" w:rsidRPr="003D55A3" w:rsidRDefault="003D55A3" w:rsidP="003D55A3">
      <w:pPr>
        <w:shd w:val="clear" w:color="auto" w:fill="FFFFFF"/>
        <w:spacing w:after="0" w:line="240" w:lineRule="auto"/>
        <w:jc w:val="both"/>
        <w:textAlignment w:val="baseline"/>
        <w:rPr>
          <w:rFonts w:ascii="Arial" w:eastAsia="Times New Roman" w:hAnsi="Arial" w:cs="Arial"/>
          <w:b/>
          <w:color w:val="333333"/>
          <w:sz w:val="36"/>
          <w:szCs w:val="36"/>
        </w:rPr>
      </w:pPr>
      <w:r w:rsidRPr="003D55A3">
        <w:rPr>
          <w:rFonts w:ascii="Arial" w:eastAsia="Times New Roman" w:hAnsi="Arial" w:cs="Arial"/>
          <w:b/>
          <w:color w:val="333333"/>
          <w:sz w:val="36"/>
          <w:szCs w:val="36"/>
        </w:rPr>
        <w:t xml:space="preserve">Quy định chung: </w:t>
      </w:r>
    </w:p>
    <w:p w:rsidR="003D55A3" w:rsidRPr="003D55A3" w:rsidRDefault="003D55A3" w:rsidP="003D55A3">
      <w:pPr>
        <w:shd w:val="clear" w:color="auto" w:fill="FFFFFF"/>
        <w:spacing w:after="0" w:line="240" w:lineRule="auto"/>
        <w:jc w:val="both"/>
        <w:textAlignment w:val="baseline"/>
        <w:rPr>
          <w:rFonts w:ascii="Arial" w:eastAsia="Times New Roman" w:hAnsi="Arial" w:cs="Arial"/>
          <w:color w:val="333333"/>
          <w:sz w:val="18"/>
          <w:szCs w:val="18"/>
        </w:rPr>
      </w:pPr>
      <w:r w:rsidRPr="003D55A3">
        <w:rPr>
          <w:rFonts w:ascii="Arial" w:eastAsia="Times New Roman" w:hAnsi="Arial" w:cs="Arial"/>
          <w:color w:val="333333"/>
          <w:sz w:val="18"/>
          <w:szCs w:val="18"/>
        </w:rPr>
        <w:t>Căn cứ Chuẩn mực kế toán Việt Nam số 14 (Doanh thu và Thu nhập khác), doanh thu bán hàng được ghi nhận khi đồng thời thỏa mãn năm điều kiện sau:</w:t>
      </w:r>
    </w:p>
    <w:p w:rsidR="003D55A3" w:rsidRPr="003D55A3" w:rsidRDefault="003D55A3" w:rsidP="003D55A3">
      <w:pPr>
        <w:shd w:val="clear" w:color="auto" w:fill="FFFFFF"/>
        <w:spacing w:after="0" w:line="240" w:lineRule="auto"/>
        <w:jc w:val="both"/>
        <w:textAlignment w:val="baseline"/>
        <w:rPr>
          <w:rFonts w:ascii="Arial" w:eastAsia="Times New Roman" w:hAnsi="Arial" w:cs="Arial"/>
          <w:color w:val="333333"/>
          <w:sz w:val="18"/>
          <w:szCs w:val="18"/>
        </w:rPr>
      </w:pPr>
      <w:r w:rsidRPr="003D55A3">
        <w:rPr>
          <w:rFonts w:ascii="Arial" w:eastAsia="Times New Roman" w:hAnsi="Arial" w:cs="Arial"/>
          <w:color w:val="333333"/>
          <w:sz w:val="18"/>
          <w:szCs w:val="18"/>
        </w:rPr>
        <w:t>(a) Doanh nghiệp đã chuyển giao phần lớn rủi ro và lợi ích gắn liền với quyền sở hữu sản phẩm hoặc hàng hóa cho người mua;</w:t>
      </w:r>
    </w:p>
    <w:p w:rsidR="003D55A3" w:rsidRPr="003D55A3" w:rsidRDefault="003D55A3" w:rsidP="003D55A3">
      <w:pPr>
        <w:shd w:val="clear" w:color="auto" w:fill="FFFFFF"/>
        <w:spacing w:after="0" w:line="240" w:lineRule="auto"/>
        <w:jc w:val="both"/>
        <w:textAlignment w:val="baseline"/>
        <w:rPr>
          <w:rFonts w:ascii="Arial" w:eastAsia="Times New Roman" w:hAnsi="Arial" w:cs="Arial"/>
          <w:color w:val="333333"/>
          <w:sz w:val="18"/>
          <w:szCs w:val="18"/>
        </w:rPr>
      </w:pPr>
      <w:r w:rsidRPr="003D55A3">
        <w:rPr>
          <w:rFonts w:ascii="Arial" w:eastAsia="Times New Roman" w:hAnsi="Arial" w:cs="Arial"/>
          <w:color w:val="333333"/>
          <w:sz w:val="18"/>
          <w:szCs w:val="18"/>
        </w:rPr>
        <w:t>(b) Doanh nghiệp không còn nắm giữ quyền quản lý hàng hóa như người sở hữu hàng hóa hoặc quyền kiểm soát hàng hóa;</w:t>
      </w:r>
    </w:p>
    <w:p w:rsidR="003D55A3" w:rsidRPr="003D55A3" w:rsidRDefault="003D55A3" w:rsidP="003D55A3">
      <w:pPr>
        <w:shd w:val="clear" w:color="auto" w:fill="FFFFFF"/>
        <w:spacing w:after="0" w:line="240" w:lineRule="auto"/>
        <w:jc w:val="both"/>
        <w:textAlignment w:val="baseline"/>
        <w:rPr>
          <w:rFonts w:ascii="Arial" w:eastAsia="Times New Roman" w:hAnsi="Arial" w:cs="Arial"/>
          <w:color w:val="333333"/>
          <w:sz w:val="18"/>
          <w:szCs w:val="18"/>
        </w:rPr>
      </w:pPr>
      <w:r w:rsidRPr="003D55A3">
        <w:rPr>
          <w:rFonts w:ascii="Arial" w:eastAsia="Times New Roman" w:hAnsi="Arial" w:cs="Arial"/>
          <w:color w:val="333333"/>
          <w:sz w:val="18"/>
          <w:szCs w:val="18"/>
        </w:rPr>
        <w:t>(c) Doanh thu được xác định tương đối chắc chắn;</w:t>
      </w:r>
    </w:p>
    <w:p w:rsidR="003D55A3" w:rsidRPr="003D55A3" w:rsidRDefault="003D55A3" w:rsidP="003D55A3">
      <w:pPr>
        <w:shd w:val="clear" w:color="auto" w:fill="FFFFFF"/>
        <w:spacing w:after="0" w:line="240" w:lineRule="auto"/>
        <w:jc w:val="both"/>
        <w:textAlignment w:val="baseline"/>
        <w:rPr>
          <w:rFonts w:ascii="Arial" w:eastAsia="Times New Roman" w:hAnsi="Arial" w:cs="Arial"/>
          <w:color w:val="333333"/>
          <w:sz w:val="18"/>
          <w:szCs w:val="18"/>
        </w:rPr>
      </w:pPr>
      <w:r w:rsidRPr="003D55A3">
        <w:rPr>
          <w:rFonts w:ascii="Arial" w:eastAsia="Times New Roman" w:hAnsi="Arial" w:cs="Arial"/>
          <w:color w:val="333333"/>
          <w:sz w:val="18"/>
          <w:szCs w:val="18"/>
        </w:rPr>
        <w:t>(d) Doanh nghiệp đã thu được hoặc sẽ thu được lợi ích kinh tế từ giao dịch bán hàng;</w:t>
      </w:r>
    </w:p>
    <w:p w:rsidR="003D55A3" w:rsidRPr="003D55A3" w:rsidRDefault="003D55A3" w:rsidP="003D55A3">
      <w:pPr>
        <w:shd w:val="clear" w:color="auto" w:fill="FFFFFF"/>
        <w:spacing w:after="0" w:line="240" w:lineRule="auto"/>
        <w:jc w:val="both"/>
        <w:textAlignment w:val="baseline"/>
        <w:rPr>
          <w:rFonts w:ascii="Arial" w:eastAsia="Times New Roman" w:hAnsi="Arial" w:cs="Arial"/>
          <w:color w:val="333333"/>
          <w:sz w:val="18"/>
          <w:szCs w:val="18"/>
        </w:rPr>
      </w:pPr>
      <w:r w:rsidRPr="003D55A3">
        <w:rPr>
          <w:rFonts w:ascii="Arial" w:eastAsia="Times New Roman" w:hAnsi="Arial" w:cs="Arial"/>
          <w:color w:val="333333"/>
          <w:sz w:val="18"/>
          <w:szCs w:val="18"/>
        </w:rPr>
        <w:t>(e) Xác định được chi phí liên quan đến giao dịch bán hàng.</w:t>
      </w:r>
    </w:p>
    <w:p w:rsidR="003D55A3" w:rsidRPr="003D55A3" w:rsidRDefault="003D55A3" w:rsidP="003D55A3">
      <w:pPr>
        <w:shd w:val="clear" w:color="auto" w:fill="FFFFFF"/>
        <w:spacing w:after="0" w:line="240" w:lineRule="auto"/>
        <w:jc w:val="both"/>
        <w:textAlignment w:val="baseline"/>
        <w:rPr>
          <w:rFonts w:ascii="Arial" w:eastAsia="Times New Roman" w:hAnsi="Arial" w:cs="Arial"/>
          <w:color w:val="333333"/>
          <w:sz w:val="18"/>
          <w:szCs w:val="18"/>
        </w:rPr>
      </w:pPr>
      <w:r w:rsidRPr="003D55A3">
        <w:rPr>
          <w:rFonts w:ascii="Arial" w:eastAsia="Times New Roman" w:hAnsi="Arial" w:cs="Arial"/>
          <w:color w:val="333333"/>
          <w:sz w:val="18"/>
          <w:szCs w:val="18"/>
        </w:rPr>
        <w:t>Như vậy, về nguyên tắc thì Doanh thu được ghi nhận khi Doanh nghiệp đã </w:t>
      </w:r>
      <w:r w:rsidRPr="003D55A3">
        <w:rPr>
          <w:rFonts w:ascii="Arial" w:eastAsia="Times New Roman" w:hAnsi="Arial" w:cs="Arial"/>
          <w:b/>
          <w:bCs/>
          <w:color w:val="333333"/>
          <w:sz w:val="18"/>
          <w:szCs w:val="18"/>
          <w:bdr w:val="none" w:sz="0" w:space="0" w:color="auto" w:frame="1"/>
        </w:rPr>
        <w:t>chuyển giao quyền sở hữu, quyền sử dụng hàng hóa cho người mua</w:t>
      </w:r>
      <w:r w:rsidRPr="003D55A3">
        <w:rPr>
          <w:rFonts w:ascii="Arial" w:eastAsia="Times New Roman" w:hAnsi="Arial" w:cs="Arial"/>
          <w:color w:val="333333"/>
          <w:sz w:val="18"/>
          <w:szCs w:val="18"/>
        </w:rPr>
        <w:t>.</w:t>
      </w:r>
    </w:p>
    <w:p w:rsidR="003D55A3" w:rsidRPr="00DC1B29" w:rsidRDefault="003D55A3" w:rsidP="003D55A3">
      <w:pPr>
        <w:shd w:val="clear" w:color="auto" w:fill="FFFFFF"/>
        <w:spacing w:line="240" w:lineRule="auto"/>
        <w:outlineLvl w:val="0"/>
        <w:rPr>
          <w:rFonts w:ascii="Arial" w:eastAsia="Times New Roman" w:hAnsi="Arial" w:cs="Arial"/>
          <w:color w:val="FF6600"/>
          <w:kern w:val="36"/>
          <w:sz w:val="42"/>
          <w:szCs w:val="42"/>
          <w:bdr w:val="none" w:sz="0" w:space="0" w:color="auto" w:frame="1"/>
        </w:rPr>
      </w:pPr>
      <w:bookmarkStart w:id="0" w:name="_GoBack"/>
      <w:bookmarkEnd w:id="0"/>
      <w:r w:rsidRPr="00DC1B29">
        <w:rPr>
          <w:rFonts w:ascii="Trebuchet MS" w:eastAsia="Times New Roman" w:hAnsi="Trebuchet MS" w:cs="Times New Roman"/>
          <w:color w:val="FF6600"/>
          <w:kern w:val="36"/>
          <w:sz w:val="42"/>
          <w:szCs w:val="42"/>
          <w:bdr w:val="none" w:sz="0" w:space="0" w:color="auto" w:frame="1"/>
        </w:rPr>
        <w:t>Th</w:t>
      </w:r>
      <w:r w:rsidRPr="00DC1B29">
        <w:rPr>
          <w:rFonts w:ascii="Arial" w:eastAsia="Times New Roman" w:hAnsi="Arial" w:cs="Arial"/>
          <w:color w:val="FF6600"/>
          <w:kern w:val="36"/>
          <w:sz w:val="42"/>
          <w:szCs w:val="42"/>
          <w:bdr w:val="none" w:sz="0" w:space="0" w:color="auto" w:frame="1"/>
        </w:rPr>
        <w:t>ờ</w:t>
      </w:r>
      <w:r w:rsidRPr="00DC1B29">
        <w:rPr>
          <w:rFonts w:ascii="Trebuchet MS" w:eastAsia="Times New Roman" w:hAnsi="Trebuchet MS" w:cs="Times New Roman"/>
          <w:color w:val="FF6600"/>
          <w:kern w:val="36"/>
          <w:sz w:val="42"/>
          <w:szCs w:val="42"/>
          <w:bdr w:val="none" w:sz="0" w:space="0" w:color="auto" w:frame="1"/>
        </w:rPr>
        <w:t>i đi</w:t>
      </w:r>
      <w:r w:rsidRPr="00DC1B29">
        <w:rPr>
          <w:rFonts w:ascii="Arial" w:eastAsia="Times New Roman" w:hAnsi="Arial" w:cs="Arial"/>
          <w:color w:val="FF6600"/>
          <w:kern w:val="36"/>
          <w:sz w:val="42"/>
          <w:szCs w:val="42"/>
          <w:bdr w:val="none" w:sz="0" w:space="0" w:color="auto" w:frame="1"/>
        </w:rPr>
        <w:t>ể</w:t>
      </w:r>
      <w:r w:rsidRPr="00DC1B29">
        <w:rPr>
          <w:rFonts w:ascii="Trebuchet MS" w:eastAsia="Times New Roman" w:hAnsi="Trebuchet MS" w:cs="Times New Roman"/>
          <w:color w:val="FF6600"/>
          <w:kern w:val="36"/>
          <w:sz w:val="42"/>
          <w:szCs w:val="42"/>
          <w:bdr w:val="none" w:sz="0" w:space="0" w:color="auto" w:frame="1"/>
        </w:rPr>
        <w:t>m xác đ</w:t>
      </w:r>
      <w:r w:rsidRPr="00DC1B29">
        <w:rPr>
          <w:rFonts w:ascii="Arial" w:eastAsia="Times New Roman" w:hAnsi="Arial" w:cs="Arial"/>
          <w:color w:val="FF6600"/>
          <w:kern w:val="36"/>
          <w:sz w:val="42"/>
          <w:szCs w:val="42"/>
          <w:bdr w:val="none" w:sz="0" w:space="0" w:color="auto" w:frame="1"/>
        </w:rPr>
        <w:t>ị</w:t>
      </w:r>
      <w:r w:rsidRPr="00DC1B29">
        <w:rPr>
          <w:rFonts w:ascii="Trebuchet MS" w:eastAsia="Times New Roman" w:hAnsi="Trebuchet MS" w:cs="Times New Roman"/>
          <w:color w:val="FF6600"/>
          <w:kern w:val="36"/>
          <w:sz w:val="42"/>
          <w:szCs w:val="42"/>
          <w:bdr w:val="none" w:sz="0" w:space="0" w:color="auto" w:frame="1"/>
        </w:rPr>
        <w:t>nh doanh thu đ</w:t>
      </w:r>
      <w:r w:rsidRPr="00DC1B29">
        <w:rPr>
          <w:rFonts w:ascii="Arial" w:eastAsia="Times New Roman" w:hAnsi="Arial" w:cs="Arial"/>
          <w:color w:val="FF6600"/>
          <w:kern w:val="36"/>
          <w:sz w:val="42"/>
          <w:szCs w:val="42"/>
          <w:bdr w:val="none" w:sz="0" w:space="0" w:color="auto" w:frame="1"/>
        </w:rPr>
        <w:t>ố</w:t>
      </w:r>
      <w:r w:rsidRPr="00DC1B29">
        <w:rPr>
          <w:rFonts w:ascii="Trebuchet MS" w:eastAsia="Times New Roman" w:hAnsi="Trebuchet MS" w:cs="Times New Roman"/>
          <w:color w:val="FF6600"/>
          <w:kern w:val="36"/>
          <w:sz w:val="42"/>
          <w:szCs w:val="42"/>
          <w:bdr w:val="none" w:sz="0" w:space="0" w:color="auto" w:frame="1"/>
        </w:rPr>
        <w:t>i v</w:t>
      </w:r>
      <w:r w:rsidRPr="00DC1B29">
        <w:rPr>
          <w:rFonts w:ascii="Arial" w:eastAsia="Times New Roman" w:hAnsi="Arial" w:cs="Arial"/>
          <w:color w:val="FF6600"/>
          <w:kern w:val="36"/>
          <w:sz w:val="42"/>
          <w:szCs w:val="42"/>
          <w:bdr w:val="none" w:sz="0" w:space="0" w:color="auto" w:frame="1"/>
        </w:rPr>
        <w:t>ớ</w:t>
      </w:r>
      <w:r w:rsidRPr="00DC1B29">
        <w:rPr>
          <w:rFonts w:ascii="Trebuchet MS" w:eastAsia="Times New Roman" w:hAnsi="Trebuchet MS" w:cs="Times New Roman"/>
          <w:color w:val="FF6600"/>
          <w:kern w:val="36"/>
          <w:sz w:val="42"/>
          <w:szCs w:val="42"/>
          <w:bdr w:val="none" w:sz="0" w:space="0" w:color="auto" w:frame="1"/>
        </w:rPr>
        <w:t>i ho</w:t>
      </w:r>
      <w:r w:rsidRPr="00DC1B29">
        <w:rPr>
          <w:rFonts w:ascii="Arial" w:eastAsia="Times New Roman" w:hAnsi="Arial" w:cs="Arial"/>
          <w:color w:val="FF6600"/>
          <w:kern w:val="36"/>
          <w:sz w:val="42"/>
          <w:szCs w:val="42"/>
          <w:bdr w:val="none" w:sz="0" w:space="0" w:color="auto" w:frame="1"/>
        </w:rPr>
        <w:t>ạ</w:t>
      </w:r>
      <w:r w:rsidRPr="00DC1B29">
        <w:rPr>
          <w:rFonts w:ascii="Trebuchet MS" w:eastAsia="Times New Roman" w:hAnsi="Trebuchet MS" w:cs="Times New Roman"/>
          <w:color w:val="FF6600"/>
          <w:kern w:val="36"/>
          <w:sz w:val="42"/>
          <w:szCs w:val="42"/>
          <w:bdr w:val="none" w:sz="0" w:space="0" w:color="auto" w:frame="1"/>
        </w:rPr>
        <w:t>t đ</w:t>
      </w:r>
      <w:r w:rsidRPr="00DC1B29">
        <w:rPr>
          <w:rFonts w:ascii="Arial" w:eastAsia="Times New Roman" w:hAnsi="Arial" w:cs="Arial"/>
          <w:color w:val="FF6600"/>
          <w:kern w:val="36"/>
          <w:sz w:val="42"/>
          <w:szCs w:val="42"/>
          <w:bdr w:val="none" w:sz="0" w:space="0" w:color="auto" w:frame="1"/>
        </w:rPr>
        <w:t>ộ</w:t>
      </w:r>
      <w:r w:rsidRPr="00DC1B29">
        <w:rPr>
          <w:rFonts w:ascii="Trebuchet MS" w:eastAsia="Times New Roman" w:hAnsi="Trebuchet MS" w:cs="Times New Roman"/>
          <w:color w:val="FF6600"/>
          <w:kern w:val="36"/>
          <w:sz w:val="42"/>
          <w:szCs w:val="42"/>
          <w:bdr w:val="none" w:sz="0" w:space="0" w:color="auto" w:frame="1"/>
        </w:rPr>
        <w:t xml:space="preserve">ng cung </w:t>
      </w:r>
      <w:r w:rsidRPr="00DC1B29">
        <w:rPr>
          <w:rFonts w:ascii="Arial" w:eastAsia="Times New Roman" w:hAnsi="Arial" w:cs="Arial"/>
          <w:color w:val="FF6600"/>
          <w:kern w:val="36"/>
          <w:sz w:val="42"/>
          <w:szCs w:val="42"/>
          <w:bdr w:val="none" w:sz="0" w:space="0" w:color="auto" w:frame="1"/>
        </w:rPr>
        <w:t>ứ</w:t>
      </w:r>
      <w:r w:rsidRPr="00DC1B29">
        <w:rPr>
          <w:rFonts w:ascii="Trebuchet MS" w:eastAsia="Times New Roman" w:hAnsi="Trebuchet MS" w:cs="Times New Roman"/>
          <w:color w:val="FF6600"/>
          <w:kern w:val="36"/>
          <w:sz w:val="42"/>
          <w:szCs w:val="42"/>
          <w:bdr w:val="none" w:sz="0" w:space="0" w:color="auto" w:frame="1"/>
        </w:rPr>
        <w:t>ng d</w:t>
      </w:r>
      <w:r w:rsidRPr="00DC1B29">
        <w:rPr>
          <w:rFonts w:ascii="Arial" w:eastAsia="Times New Roman" w:hAnsi="Arial" w:cs="Arial"/>
          <w:color w:val="FF6600"/>
          <w:kern w:val="36"/>
          <w:sz w:val="42"/>
          <w:szCs w:val="42"/>
          <w:bdr w:val="none" w:sz="0" w:space="0" w:color="auto" w:frame="1"/>
        </w:rPr>
        <w:t>ị</w:t>
      </w:r>
      <w:r w:rsidRPr="00DC1B29">
        <w:rPr>
          <w:rFonts w:ascii="Trebuchet MS" w:eastAsia="Times New Roman" w:hAnsi="Trebuchet MS" w:cs="Times New Roman"/>
          <w:color w:val="FF6600"/>
          <w:kern w:val="36"/>
          <w:sz w:val="42"/>
          <w:szCs w:val="42"/>
          <w:bdr w:val="none" w:sz="0" w:space="0" w:color="auto" w:frame="1"/>
        </w:rPr>
        <w:t>ch v</w:t>
      </w:r>
      <w:r w:rsidRPr="00DC1B29">
        <w:rPr>
          <w:rFonts w:ascii="Arial" w:eastAsia="Times New Roman" w:hAnsi="Arial" w:cs="Arial"/>
          <w:color w:val="FF6600"/>
          <w:kern w:val="36"/>
          <w:sz w:val="42"/>
          <w:szCs w:val="42"/>
          <w:bdr w:val="none" w:sz="0" w:space="0" w:color="auto" w:frame="1"/>
        </w:rPr>
        <w:t>ụ</w:t>
      </w:r>
    </w:p>
    <w:p w:rsidR="003D55A3"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color w:val="333333"/>
          <w:sz w:val="20"/>
          <w:szCs w:val="20"/>
        </w:rPr>
        <w:t>Thời điểm xác định doanh thu đối với hoạt động cung ứng dịch vụ theo </w:t>
      </w:r>
      <w:hyperlink r:id="rId19" w:tgtFrame="_blank" w:history="1">
        <w:r w:rsidRPr="001A20A7">
          <w:rPr>
            <w:rFonts w:ascii="Arial" w:eastAsia="Times New Roman" w:hAnsi="Arial" w:cs="Arial"/>
            <w:color w:val="444444"/>
            <w:sz w:val="20"/>
            <w:szCs w:val="20"/>
            <w:bdr w:val="none" w:sz="0" w:space="0" w:color="auto" w:frame="1"/>
          </w:rPr>
          <w:t>Thông tư 96/2015/TT-BTC</w:t>
        </w:r>
      </w:hyperlink>
      <w:r w:rsidRPr="001A20A7">
        <w:rPr>
          <w:rFonts w:ascii="Arial" w:eastAsia="Times New Roman" w:hAnsi="Arial" w:cs="Arial"/>
          <w:color w:val="333333"/>
          <w:sz w:val="20"/>
          <w:szCs w:val="20"/>
        </w:rPr>
        <w:t>. Đối với mỗi hoạt động sản xuất kinh doanh, doanh nghiệp đều phải xác định được thời điểm xác định doanh thu là khi nào để xác định doanh thu đúng theo quy định của pháp luật. Thời điểm xác định doanh thu đối với hoạt động cung ứng dịch vụ được xác định như thế nào theo quy định mới tại</w:t>
      </w:r>
      <w:hyperlink r:id="rId20" w:tgtFrame="_blank" w:history="1">
        <w:r w:rsidRPr="001A20A7">
          <w:rPr>
            <w:rFonts w:ascii="Arial" w:eastAsia="Times New Roman" w:hAnsi="Arial" w:cs="Arial"/>
            <w:color w:val="444444"/>
            <w:sz w:val="20"/>
            <w:szCs w:val="20"/>
            <w:bdr w:val="none" w:sz="0" w:space="0" w:color="auto" w:frame="1"/>
          </w:rPr>
          <w:t> Thông tư 96/2015/TT-BTC</w:t>
        </w:r>
      </w:hyperlink>
      <w:r w:rsidRPr="001A20A7">
        <w:rPr>
          <w:rFonts w:ascii="Arial" w:eastAsia="Times New Roman" w:hAnsi="Arial" w:cs="Arial"/>
          <w:color w:val="333333"/>
          <w:sz w:val="20"/>
          <w:szCs w:val="20"/>
        </w:rPr>
        <w:t>.</w:t>
      </w:r>
    </w:p>
    <w:p w:rsidR="003D55A3" w:rsidRPr="00347E2F" w:rsidRDefault="003D55A3" w:rsidP="003D55A3">
      <w:pPr>
        <w:shd w:val="clear" w:color="auto" w:fill="FFFFFF"/>
        <w:spacing w:line="330" w:lineRule="atLeast"/>
        <w:jc w:val="both"/>
        <w:rPr>
          <w:rFonts w:ascii="Arial" w:eastAsia="Times New Roman" w:hAnsi="Arial" w:cs="Arial"/>
          <w:b/>
          <w:color w:val="333333"/>
          <w:sz w:val="20"/>
          <w:szCs w:val="20"/>
        </w:rPr>
      </w:pPr>
      <w:r w:rsidRPr="00347E2F">
        <w:rPr>
          <w:rFonts w:ascii="Arial" w:eastAsia="Times New Roman" w:hAnsi="Arial" w:cs="Arial"/>
          <w:b/>
          <w:color w:val="333333"/>
          <w:sz w:val="20"/>
          <w:szCs w:val="20"/>
          <w:highlight w:val="yellow"/>
        </w:rPr>
        <w:lastRenderedPageBreak/>
        <w:t>1. Liên quan đến việc lập hóa đơn:</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hyperlink r:id="rId21" w:tgtFrame="_blank" w:history="1">
        <w:r w:rsidRPr="001A20A7">
          <w:rPr>
            <w:rFonts w:ascii="Arial" w:eastAsia="Times New Roman" w:hAnsi="Arial" w:cs="Arial"/>
            <w:color w:val="444444"/>
            <w:sz w:val="20"/>
            <w:szCs w:val="20"/>
            <w:bdr w:val="none" w:sz="0" w:space="0" w:color="auto" w:frame="1"/>
          </w:rPr>
          <w:t>Thông tư 39/2014/TT-BTC</w:t>
        </w:r>
      </w:hyperlink>
      <w:r w:rsidRPr="001A20A7">
        <w:rPr>
          <w:rFonts w:ascii="Arial" w:eastAsia="Times New Roman" w:hAnsi="Arial" w:cs="Arial"/>
          <w:color w:val="333333"/>
          <w:sz w:val="20"/>
          <w:szCs w:val="20"/>
        </w:rPr>
        <w:t> tại Điều 16, Khoản 2, Điểm a quy định về thời ngày lập hóa đơn đối với một số trường hợp như sau:</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i/>
          <w:iCs/>
          <w:color w:val="333333"/>
          <w:sz w:val="20"/>
          <w:szCs w:val="20"/>
          <w:bdr w:val="none" w:sz="0" w:space="0" w:color="auto" w:frame="1"/>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rsidR="003D55A3"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b/>
          <w:bCs/>
          <w:color w:val="333333"/>
          <w:sz w:val="20"/>
          <w:szCs w:val="20"/>
          <w:u w:val="single"/>
          <w:bdr w:val="none" w:sz="0" w:space="0" w:color="auto" w:frame="1"/>
        </w:rPr>
        <w:t>Như vậy:</w:t>
      </w:r>
      <w:r w:rsidRPr="001A20A7">
        <w:rPr>
          <w:rFonts w:ascii="Arial" w:eastAsia="Times New Roman" w:hAnsi="Arial" w:cs="Arial"/>
          <w:b/>
          <w:bCs/>
          <w:color w:val="333333"/>
          <w:sz w:val="20"/>
          <w:szCs w:val="20"/>
          <w:bdr w:val="none" w:sz="0" w:space="0" w:color="auto" w:frame="1"/>
        </w:rPr>
        <w:t> N</w:t>
      </w:r>
      <w:r w:rsidRPr="001A20A7">
        <w:rPr>
          <w:rFonts w:ascii="Arial" w:eastAsia="Times New Roman" w:hAnsi="Arial" w:cs="Arial"/>
          <w:color w:val="333333"/>
          <w:sz w:val="20"/>
          <w:szCs w:val="20"/>
        </w:rPr>
        <w:t>gày lập hóa đơn đối với hoạt động cung ứng dịch vụ là ngày hoàn thành việc cung ứng dịch vụ hoặc là ngày thu tiền ứng trước hoạt động dịch vụ.</w:t>
      </w:r>
    </w:p>
    <w:p w:rsidR="003D55A3" w:rsidRDefault="003D55A3" w:rsidP="003D55A3">
      <w:pPr>
        <w:shd w:val="clear" w:color="auto" w:fill="FFFFFF"/>
        <w:spacing w:line="330" w:lineRule="atLeast"/>
        <w:jc w:val="both"/>
        <w:rPr>
          <w:rFonts w:ascii="Arial" w:eastAsia="Times New Roman" w:hAnsi="Arial" w:cs="Arial"/>
          <w:color w:val="333333"/>
          <w:sz w:val="20"/>
          <w:szCs w:val="20"/>
        </w:rPr>
      </w:pPr>
    </w:p>
    <w:p w:rsidR="003D55A3" w:rsidRPr="00347E2F" w:rsidRDefault="003D55A3" w:rsidP="003D55A3">
      <w:pPr>
        <w:shd w:val="clear" w:color="auto" w:fill="FFFFFF"/>
        <w:spacing w:line="330" w:lineRule="atLeast"/>
        <w:jc w:val="both"/>
        <w:rPr>
          <w:rFonts w:ascii="Arial" w:eastAsia="Times New Roman" w:hAnsi="Arial" w:cs="Arial"/>
          <w:b/>
          <w:color w:val="333333"/>
          <w:sz w:val="20"/>
          <w:szCs w:val="20"/>
        </w:rPr>
      </w:pPr>
      <w:r w:rsidRPr="00347E2F">
        <w:rPr>
          <w:rFonts w:ascii="Arial" w:eastAsia="Times New Roman" w:hAnsi="Arial" w:cs="Arial"/>
          <w:b/>
          <w:color w:val="333333"/>
          <w:sz w:val="20"/>
          <w:szCs w:val="20"/>
          <w:highlight w:val="yellow"/>
        </w:rPr>
        <w:t>2. Liên quan đến thuế GTGT:</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hyperlink r:id="rId22" w:tgtFrame="_blank" w:history="1">
        <w:r w:rsidRPr="001A20A7">
          <w:rPr>
            <w:rFonts w:ascii="Arial" w:eastAsia="Times New Roman" w:hAnsi="Arial" w:cs="Arial"/>
            <w:color w:val="444444"/>
            <w:sz w:val="20"/>
            <w:szCs w:val="20"/>
            <w:bdr w:val="none" w:sz="0" w:space="0" w:color="auto" w:frame="1"/>
          </w:rPr>
          <w:t>Thông tư 219/2013/TT-BTC</w:t>
        </w:r>
      </w:hyperlink>
      <w:r w:rsidRPr="001A20A7">
        <w:rPr>
          <w:rFonts w:ascii="Arial" w:eastAsia="Times New Roman" w:hAnsi="Arial" w:cs="Arial"/>
          <w:color w:val="333333"/>
          <w:sz w:val="20"/>
          <w:szCs w:val="20"/>
        </w:rPr>
        <w:t> tại Điều 8, Khoản 1 quy định về thời điểm xác định thuế GTGT</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i/>
          <w:iCs/>
          <w:color w:val="333333"/>
          <w:sz w:val="20"/>
          <w:szCs w:val="20"/>
          <w:bdr w:val="none" w:sz="0" w:space="0" w:color="auto" w:frame="1"/>
        </w:rPr>
        <w:t>“2. Đối với cung ứng dịch vụ là thời điểm hoàn thành việc cung ứng dịch vụ hoặc thời điểm lập hoá đơn cung ứng dịch vụ, không phân biệt đã thu được tiền hay chưa thu được tiền.”</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b/>
          <w:bCs/>
          <w:color w:val="333333"/>
          <w:sz w:val="20"/>
          <w:szCs w:val="20"/>
          <w:bdr w:val="none" w:sz="0" w:space="0" w:color="auto" w:frame="1"/>
        </w:rPr>
        <w:t>Như vậy</w:t>
      </w:r>
      <w:r w:rsidRPr="001A20A7">
        <w:rPr>
          <w:rFonts w:ascii="Arial" w:eastAsia="Times New Roman" w:hAnsi="Arial" w:cs="Arial"/>
          <w:color w:val="333333"/>
          <w:sz w:val="20"/>
          <w:szCs w:val="20"/>
        </w:rPr>
        <w:t>, thời điểm xác định thuế GTGT đối với hoạt động dịch vụ là:</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i/>
          <w:iCs/>
          <w:color w:val="333333"/>
          <w:sz w:val="20"/>
          <w:szCs w:val="20"/>
          <w:bdr w:val="none" w:sz="0" w:space="0" w:color="auto" w:frame="1"/>
        </w:rPr>
        <w:t>+ Thời điểm hoàn thành việc cung ứng dịch vụ hoặc</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i/>
          <w:iCs/>
          <w:color w:val="333333"/>
          <w:sz w:val="20"/>
          <w:szCs w:val="20"/>
          <w:bdr w:val="none" w:sz="0" w:space="0" w:color="auto" w:frame="1"/>
        </w:rPr>
        <w:t>+ Thời điểm lập hoá đơn cung ứng dịch vụ.</w:t>
      </w:r>
    </w:p>
    <w:p w:rsidR="003D55A3"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i/>
          <w:iCs/>
          <w:color w:val="333333"/>
          <w:sz w:val="20"/>
          <w:szCs w:val="20"/>
          <w:bdr w:val="none" w:sz="0" w:space="0" w:color="auto" w:frame="1"/>
        </w:rPr>
        <w:t>Do đó thời điểm xác định thuế GTGT chính là thời điểm</w:t>
      </w:r>
      <w:r w:rsidRPr="001A20A7">
        <w:rPr>
          <w:rFonts w:ascii="Arial" w:eastAsia="Times New Roman" w:hAnsi="Arial" w:cs="Arial"/>
          <w:color w:val="333333"/>
          <w:sz w:val="20"/>
          <w:szCs w:val="20"/>
        </w:rPr>
        <w:t> lập hóa đơn cung ứng dịch vụ.</w:t>
      </w:r>
    </w:p>
    <w:p w:rsidR="003D55A3" w:rsidRDefault="003D55A3" w:rsidP="003D55A3">
      <w:pPr>
        <w:shd w:val="clear" w:color="auto" w:fill="FFFFFF"/>
        <w:spacing w:line="330" w:lineRule="atLeast"/>
        <w:jc w:val="both"/>
        <w:rPr>
          <w:rFonts w:ascii="Arial" w:eastAsia="Times New Roman" w:hAnsi="Arial" w:cs="Arial"/>
          <w:color w:val="333333"/>
          <w:sz w:val="20"/>
          <w:szCs w:val="20"/>
        </w:rPr>
      </w:pPr>
    </w:p>
    <w:p w:rsidR="003D55A3" w:rsidRPr="00347E2F" w:rsidRDefault="003D55A3" w:rsidP="003D55A3">
      <w:pPr>
        <w:shd w:val="clear" w:color="auto" w:fill="FFFFFF"/>
        <w:spacing w:line="330" w:lineRule="atLeast"/>
        <w:jc w:val="both"/>
        <w:rPr>
          <w:rFonts w:ascii="Arial" w:eastAsia="Times New Roman" w:hAnsi="Arial" w:cs="Arial"/>
          <w:b/>
          <w:color w:val="333333"/>
          <w:sz w:val="20"/>
          <w:szCs w:val="20"/>
        </w:rPr>
      </w:pPr>
      <w:r w:rsidRPr="00347E2F">
        <w:rPr>
          <w:rFonts w:ascii="Arial" w:eastAsia="Times New Roman" w:hAnsi="Arial" w:cs="Arial"/>
          <w:b/>
          <w:color w:val="333333"/>
          <w:sz w:val="20"/>
          <w:szCs w:val="20"/>
          <w:highlight w:val="yellow"/>
        </w:rPr>
        <w:t>3. Liên quan đến thời điểm xác định doanh thu để tính thuế Thu nhập doanh nghiệp:</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color w:val="333333"/>
          <w:sz w:val="20"/>
          <w:szCs w:val="20"/>
        </w:rPr>
        <w:t>Quy định tại </w:t>
      </w:r>
      <w:hyperlink r:id="rId23" w:tgtFrame="_blank" w:history="1">
        <w:r w:rsidRPr="001A20A7">
          <w:rPr>
            <w:rFonts w:ascii="Arial" w:eastAsia="Times New Roman" w:hAnsi="Arial" w:cs="Arial"/>
            <w:color w:val="444444"/>
            <w:sz w:val="20"/>
            <w:szCs w:val="20"/>
            <w:bdr w:val="none" w:sz="0" w:space="0" w:color="auto" w:frame="1"/>
          </w:rPr>
          <w:t>Thông tư 96/2015/TT-BTC</w:t>
        </w:r>
      </w:hyperlink>
      <w:r w:rsidRPr="001A20A7">
        <w:rPr>
          <w:rFonts w:ascii="Arial" w:eastAsia="Times New Roman" w:hAnsi="Arial" w:cs="Arial"/>
          <w:color w:val="333333"/>
          <w:sz w:val="20"/>
          <w:szCs w:val="20"/>
        </w:rPr>
        <w:t> đã quy định về việc xác định doanh thu để tính thu nhập chịu thuế như sau:</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i/>
          <w:iCs/>
          <w:color w:val="333333"/>
          <w:sz w:val="20"/>
          <w:szCs w:val="20"/>
          <w:bdr w:val="none" w:sz="0" w:space="0" w:color="auto" w:frame="1"/>
        </w:rPr>
        <w:t>+ Thời điểm hoàn thành việc cung ứng dịch vụ.</w:t>
      </w:r>
    </w:p>
    <w:p w:rsidR="003D55A3" w:rsidRDefault="003D55A3" w:rsidP="003D55A3">
      <w:pPr>
        <w:shd w:val="clear" w:color="auto" w:fill="FFFFFF"/>
        <w:spacing w:line="330" w:lineRule="atLeast"/>
        <w:jc w:val="both"/>
        <w:rPr>
          <w:rFonts w:ascii="Arial" w:eastAsia="Times New Roman" w:hAnsi="Arial" w:cs="Arial"/>
          <w:i/>
          <w:iCs/>
          <w:color w:val="333333"/>
          <w:sz w:val="20"/>
          <w:szCs w:val="20"/>
          <w:bdr w:val="none" w:sz="0" w:space="0" w:color="auto" w:frame="1"/>
        </w:rPr>
      </w:pPr>
      <w:r w:rsidRPr="001A20A7">
        <w:rPr>
          <w:rFonts w:ascii="Arial" w:eastAsia="Times New Roman" w:hAnsi="Arial" w:cs="Arial"/>
          <w:i/>
          <w:iCs/>
          <w:color w:val="333333"/>
          <w:sz w:val="20"/>
          <w:szCs w:val="20"/>
          <w:bdr w:val="none" w:sz="0" w:space="0" w:color="auto" w:frame="1"/>
        </w:rPr>
        <w:t>+ Thời điểm hoàn thành từng phần việc cung ứng dịch vụ cho người mua.</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b/>
          <w:bCs/>
          <w:color w:val="333333"/>
          <w:szCs w:val="28"/>
          <w:u w:val="single"/>
          <w:bdr w:val="none" w:sz="0" w:space="0" w:color="auto" w:frame="1"/>
        </w:rPr>
        <w:t>Kết luận: </w:t>
      </w:r>
      <w:r w:rsidRPr="001A20A7">
        <w:rPr>
          <w:rFonts w:ascii="Arial" w:eastAsia="Times New Roman" w:hAnsi="Arial" w:cs="Arial"/>
          <w:color w:val="333333"/>
          <w:sz w:val="20"/>
          <w:szCs w:val="20"/>
        </w:rPr>
        <w:t>Thời điểm xác định doanh thu đối với hoạt động cung ứng dịch vụ là thời điểm:</w:t>
      </w:r>
    </w:p>
    <w:p w:rsidR="003D55A3"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color w:val="333333"/>
          <w:sz w:val="20"/>
          <w:szCs w:val="20"/>
        </w:rPr>
        <w:t>– Thời điểm hoàn thành việc cung ứng dịch vụ.</w:t>
      </w:r>
    </w:p>
    <w:p w:rsidR="003D55A3" w:rsidRPr="001A20A7" w:rsidRDefault="003D55A3" w:rsidP="003D55A3">
      <w:pPr>
        <w:shd w:val="clear" w:color="auto" w:fill="FFFFFF"/>
        <w:spacing w:line="330" w:lineRule="atLeast"/>
        <w:jc w:val="both"/>
        <w:rPr>
          <w:rFonts w:ascii="Arial" w:eastAsia="Times New Roman" w:hAnsi="Arial" w:cs="Arial"/>
          <w:color w:val="333333"/>
          <w:sz w:val="20"/>
          <w:szCs w:val="20"/>
        </w:rPr>
      </w:pPr>
      <w:r w:rsidRPr="001A20A7">
        <w:rPr>
          <w:rFonts w:ascii="Arial" w:eastAsia="Times New Roman" w:hAnsi="Arial" w:cs="Arial"/>
          <w:color w:val="333333"/>
          <w:sz w:val="20"/>
          <w:szCs w:val="20"/>
        </w:rPr>
        <w:lastRenderedPageBreak/>
        <w:t>– Thời điểm hoàn thành từng phần việc cung ứng dịch vụ cho người mua</w:t>
      </w:r>
    </w:p>
    <w:p w:rsidR="00415AA9" w:rsidRPr="009C4F2F" w:rsidRDefault="00415AA9" w:rsidP="00415AA9">
      <w:pPr>
        <w:jc w:val="both"/>
        <w:rPr>
          <w:rFonts w:ascii="Segoe UI" w:hAnsi="Segoe UI" w:cs="Segoe UI"/>
          <w:sz w:val="28"/>
          <w:szCs w:val="28"/>
        </w:rPr>
      </w:pPr>
    </w:p>
    <w:p w:rsidR="00415AA9" w:rsidRPr="009C4F2F" w:rsidRDefault="00415AA9" w:rsidP="00415AA9">
      <w:pPr>
        <w:jc w:val="both"/>
        <w:rPr>
          <w:rFonts w:ascii="Segoe UI" w:hAnsi="Segoe UI" w:cs="Segoe UI"/>
          <w:sz w:val="28"/>
          <w:szCs w:val="28"/>
        </w:rPr>
      </w:pPr>
    </w:p>
    <w:p w:rsidR="00415AA9" w:rsidRPr="009C4F2F" w:rsidRDefault="00415AA9" w:rsidP="00415AA9">
      <w:pPr>
        <w:jc w:val="both"/>
        <w:rPr>
          <w:rFonts w:ascii="Segoe UI" w:hAnsi="Segoe UI" w:cs="Segoe UI"/>
          <w:sz w:val="28"/>
          <w:szCs w:val="28"/>
        </w:rPr>
      </w:pPr>
    </w:p>
    <w:p w:rsidR="00415AA9" w:rsidRPr="009C4F2F" w:rsidRDefault="00415AA9" w:rsidP="00415AA9">
      <w:pPr>
        <w:jc w:val="both"/>
        <w:rPr>
          <w:rFonts w:ascii="Segoe UI" w:hAnsi="Segoe UI" w:cs="Segoe UI"/>
          <w:sz w:val="28"/>
          <w:szCs w:val="28"/>
        </w:rPr>
      </w:pPr>
    </w:p>
    <w:p w:rsidR="00415AA9" w:rsidRPr="009C4F2F" w:rsidRDefault="00415AA9" w:rsidP="00415AA9">
      <w:pPr>
        <w:jc w:val="center"/>
        <w:rPr>
          <w:rFonts w:ascii="Arial Unicode MS" w:eastAsia="Arial Unicode MS" w:hAnsi="Arial Unicode MS" w:cs="Arial Unicode MS"/>
          <w:color w:val="0000FF"/>
          <w:sz w:val="28"/>
          <w:szCs w:val="28"/>
        </w:rPr>
      </w:pPr>
    </w:p>
    <w:p w:rsidR="00415AA9" w:rsidRPr="009C4F2F" w:rsidRDefault="00415AA9" w:rsidP="00415AA9">
      <w:pPr>
        <w:jc w:val="center"/>
        <w:rPr>
          <w:rFonts w:ascii="Arial Unicode MS" w:eastAsia="Arial Unicode MS" w:hAnsi="Arial Unicode MS" w:cs="Arial Unicode MS"/>
          <w:color w:val="0000FF"/>
          <w:sz w:val="28"/>
          <w:szCs w:val="28"/>
        </w:rPr>
      </w:pPr>
    </w:p>
    <w:p w:rsidR="00415AA9" w:rsidRPr="009C4F2F" w:rsidRDefault="00415AA9" w:rsidP="00415AA9">
      <w:pPr>
        <w:jc w:val="center"/>
        <w:rPr>
          <w:rFonts w:ascii="Arial Unicode MS" w:eastAsia="Arial Unicode MS" w:hAnsi="Arial Unicode MS" w:cs="Arial Unicode MS"/>
          <w:color w:val="0000FF"/>
          <w:sz w:val="28"/>
          <w:szCs w:val="28"/>
        </w:rPr>
      </w:pPr>
    </w:p>
    <w:p w:rsidR="002E17AC" w:rsidRPr="009C4F2F" w:rsidRDefault="00BB4E32" w:rsidP="00415AA9">
      <w:pPr>
        <w:jc w:val="center"/>
        <w:rPr>
          <w:rFonts w:ascii="Arial Unicode MS" w:eastAsia="Arial Unicode MS" w:hAnsi="Arial Unicode MS" w:cs="Arial Unicode MS"/>
          <w:color w:val="7030A0"/>
          <w:sz w:val="28"/>
          <w:szCs w:val="28"/>
        </w:rPr>
      </w:pPr>
      <w:r w:rsidRPr="009C4F2F">
        <w:rPr>
          <w:rFonts w:ascii="Arial Unicode MS" w:eastAsia="Arial Unicode MS" w:hAnsi="Arial Unicode MS" w:cs="Arial Unicode MS"/>
          <w:color w:val="0000FF"/>
          <w:sz w:val="28"/>
          <w:szCs w:val="28"/>
        </w:rPr>
        <w:t xml:space="preserve"> </w:t>
      </w:r>
    </w:p>
    <w:p w:rsidR="002E17AC" w:rsidRPr="009C4F2F" w:rsidRDefault="002E17AC" w:rsidP="002E17AC">
      <w:pPr>
        <w:rPr>
          <w:rFonts w:ascii="Arial Unicode MS" w:eastAsia="Arial Unicode MS" w:hAnsi="Arial Unicode MS" w:cs="Arial Unicode MS"/>
          <w:color w:val="7030A0"/>
          <w:sz w:val="28"/>
          <w:szCs w:val="28"/>
        </w:rPr>
      </w:pPr>
      <w:r w:rsidRPr="009C4F2F">
        <w:rPr>
          <w:rFonts w:ascii="Arial Unicode MS" w:eastAsia="Arial Unicode MS" w:hAnsi="Arial Unicode MS" w:cs="Arial Unicode MS"/>
          <w:color w:val="7030A0"/>
          <w:sz w:val="28"/>
          <w:szCs w:val="28"/>
        </w:rPr>
        <w:t>Học phí: 3.000.000đ/ học viên</w:t>
      </w:r>
    </w:p>
    <w:p w:rsidR="002E17AC" w:rsidRPr="009C4F2F" w:rsidRDefault="002E17AC" w:rsidP="002E17AC">
      <w:pPr>
        <w:rPr>
          <w:rFonts w:ascii="Arial Unicode MS" w:eastAsia="Arial Unicode MS" w:hAnsi="Arial Unicode MS" w:cs="Arial Unicode MS"/>
          <w:color w:val="0000FF"/>
          <w:sz w:val="28"/>
          <w:szCs w:val="28"/>
        </w:rPr>
      </w:pPr>
      <w:r w:rsidRPr="009C4F2F">
        <w:rPr>
          <w:rFonts w:ascii="Arial Unicode MS" w:eastAsia="Arial Unicode MS" w:hAnsi="Arial Unicode MS" w:cs="Arial Unicode MS"/>
          <w:color w:val="0000FF"/>
          <w:sz w:val="28"/>
          <w:szCs w:val="28"/>
        </w:rPr>
        <w:t>Liên hệ đăng ký: 0985.404.435</w:t>
      </w:r>
      <w:r w:rsidR="00637A71" w:rsidRPr="009C4F2F">
        <w:rPr>
          <w:rFonts w:ascii="Arial Unicode MS" w:eastAsia="Arial Unicode MS" w:hAnsi="Arial Unicode MS" w:cs="Arial Unicode MS"/>
          <w:color w:val="0000FF"/>
          <w:sz w:val="28"/>
          <w:szCs w:val="28"/>
        </w:rPr>
        <w:t xml:space="preserve"> – 0917.032.678</w:t>
      </w:r>
    </w:p>
    <w:p w:rsidR="002E17AC" w:rsidRPr="009C4F2F" w:rsidRDefault="002E17AC" w:rsidP="002E17AC">
      <w:pPr>
        <w:rPr>
          <w:rFonts w:ascii="Arial Unicode MS" w:eastAsia="Arial Unicode MS" w:hAnsi="Arial Unicode MS" w:cs="Arial Unicode MS"/>
          <w:color w:val="0000FF"/>
          <w:sz w:val="28"/>
          <w:szCs w:val="28"/>
        </w:rPr>
      </w:pPr>
      <w:r w:rsidRPr="009C4F2F">
        <w:rPr>
          <w:rFonts w:ascii="Arial Unicode MS" w:eastAsia="Arial Unicode MS" w:hAnsi="Arial Unicode MS" w:cs="Arial Unicode MS"/>
          <w:color w:val="0000FF"/>
          <w:sz w:val="28"/>
          <w:szCs w:val="28"/>
        </w:rPr>
        <w:t xml:space="preserve">Email:  </w:t>
      </w:r>
      <w:hyperlink r:id="rId24" w:history="1">
        <w:r w:rsidRPr="009C4F2F">
          <w:rPr>
            <w:rStyle w:val="Hyperlink"/>
            <w:rFonts w:ascii="Arial Unicode MS" w:eastAsia="Arial Unicode MS" w:hAnsi="Arial Unicode MS" w:cs="Arial Unicode MS"/>
            <w:color w:val="0000FF"/>
            <w:sz w:val="28"/>
            <w:szCs w:val="28"/>
          </w:rPr>
          <w:t>namnv@office360.vn</w:t>
        </w:r>
      </w:hyperlink>
      <w:r w:rsidRPr="009C4F2F">
        <w:rPr>
          <w:rFonts w:ascii="Arial Unicode MS" w:eastAsia="Arial Unicode MS" w:hAnsi="Arial Unicode MS" w:cs="Arial Unicode MS"/>
          <w:color w:val="0000FF"/>
          <w:sz w:val="28"/>
          <w:szCs w:val="28"/>
        </w:rPr>
        <w:t xml:space="preserve"> ; </w:t>
      </w:r>
      <w:hyperlink r:id="rId25" w:history="1">
        <w:r w:rsidRPr="009C4F2F">
          <w:rPr>
            <w:rStyle w:val="Hyperlink"/>
            <w:rFonts w:ascii="Arial Unicode MS" w:eastAsia="Arial Unicode MS" w:hAnsi="Arial Unicode MS" w:cs="Arial Unicode MS"/>
            <w:color w:val="0000FF"/>
            <w:sz w:val="28"/>
            <w:szCs w:val="28"/>
          </w:rPr>
          <w:t>nam.doanviet@gmail.com</w:t>
        </w:r>
      </w:hyperlink>
    </w:p>
    <w:p w:rsidR="002E17AC" w:rsidRPr="009C4F2F" w:rsidRDefault="002E17AC" w:rsidP="002E17AC">
      <w:pPr>
        <w:rPr>
          <w:rFonts w:ascii="Arial Unicode MS" w:eastAsia="Arial Unicode MS" w:hAnsi="Arial Unicode MS" w:cs="Arial Unicode MS"/>
          <w:color w:val="0000FF"/>
          <w:sz w:val="28"/>
          <w:szCs w:val="28"/>
        </w:rPr>
      </w:pPr>
    </w:p>
    <w:p w:rsidR="002E17AC" w:rsidRPr="009C4F2F" w:rsidRDefault="002E17AC" w:rsidP="002E17AC">
      <w:pPr>
        <w:rPr>
          <w:rFonts w:ascii="Arial Unicode MS" w:eastAsia="Arial Unicode MS" w:hAnsi="Arial Unicode MS" w:cs="Arial Unicode MS"/>
          <w:color w:val="0000FF"/>
          <w:sz w:val="28"/>
          <w:szCs w:val="28"/>
        </w:rPr>
      </w:pPr>
    </w:p>
    <w:sectPr w:rsidR="002E17AC" w:rsidRPr="009C4F2F" w:rsidSect="007838E1">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D4" w:rsidRDefault="005C15D4" w:rsidP="00637A71">
      <w:pPr>
        <w:spacing w:after="0" w:line="240" w:lineRule="auto"/>
      </w:pPr>
      <w:r>
        <w:separator/>
      </w:r>
    </w:p>
  </w:endnote>
  <w:endnote w:type="continuationSeparator" w:id="0">
    <w:p w:rsidR="005C15D4" w:rsidRDefault="005C15D4" w:rsidP="0063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D4" w:rsidRDefault="005C15D4" w:rsidP="00637A71">
      <w:pPr>
        <w:spacing w:after="0" w:line="240" w:lineRule="auto"/>
      </w:pPr>
      <w:r>
        <w:separator/>
      </w:r>
    </w:p>
  </w:footnote>
  <w:footnote w:type="continuationSeparator" w:id="0">
    <w:p w:rsidR="005C15D4" w:rsidRDefault="005C15D4" w:rsidP="0063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71" w:rsidRDefault="00637A71" w:rsidP="00637A71">
    <w:pPr>
      <w:pStyle w:val="Header"/>
      <w:jc w:val="right"/>
    </w:pPr>
    <w:r>
      <w:rPr>
        <w:noProof/>
      </w:rPr>
      <w:drawing>
        <wp:inline distT="0" distB="0" distL="0" distR="0" wp14:anchorId="03340F4F" wp14:editId="7F3C0C02">
          <wp:extent cx="1654626" cy="609600"/>
          <wp:effectExtent l="0" t="0" r="3175" b="0"/>
          <wp:docPr id="8"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8393" cy="61098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DCD"/>
    <w:multiLevelType w:val="multilevel"/>
    <w:tmpl w:val="97B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AC"/>
    <w:rsid w:val="000878ED"/>
    <w:rsid w:val="001D305E"/>
    <w:rsid w:val="002E17AC"/>
    <w:rsid w:val="003456CC"/>
    <w:rsid w:val="003D55A3"/>
    <w:rsid w:val="00415AA9"/>
    <w:rsid w:val="00494AE0"/>
    <w:rsid w:val="005C15D4"/>
    <w:rsid w:val="00637A71"/>
    <w:rsid w:val="007838E1"/>
    <w:rsid w:val="0084195C"/>
    <w:rsid w:val="009C4F2F"/>
    <w:rsid w:val="00A31474"/>
    <w:rsid w:val="00BB4E32"/>
    <w:rsid w:val="00E0604A"/>
    <w:rsid w:val="00E6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4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7AC"/>
    <w:rPr>
      <w:color w:val="0000FF" w:themeColor="hyperlink"/>
      <w:u w:val="single"/>
    </w:rPr>
  </w:style>
  <w:style w:type="paragraph" w:styleId="Header">
    <w:name w:val="header"/>
    <w:basedOn w:val="Normal"/>
    <w:link w:val="HeaderChar"/>
    <w:uiPriority w:val="99"/>
    <w:unhideWhenUsed/>
    <w:rsid w:val="0063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71"/>
  </w:style>
  <w:style w:type="paragraph" w:styleId="Footer">
    <w:name w:val="footer"/>
    <w:basedOn w:val="Normal"/>
    <w:link w:val="FooterChar"/>
    <w:uiPriority w:val="99"/>
    <w:unhideWhenUsed/>
    <w:rsid w:val="0063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71"/>
  </w:style>
  <w:style w:type="paragraph" w:styleId="BalloonText">
    <w:name w:val="Balloon Text"/>
    <w:basedOn w:val="Normal"/>
    <w:link w:val="BalloonTextChar"/>
    <w:uiPriority w:val="99"/>
    <w:semiHidden/>
    <w:unhideWhenUsed/>
    <w:rsid w:val="0063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71"/>
    <w:rPr>
      <w:rFonts w:ascii="Tahoma" w:hAnsi="Tahoma" w:cs="Tahoma"/>
      <w:sz w:val="16"/>
      <w:szCs w:val="16"/>
    </w:rPr>
  </w:style>
  <w:style w:type="character" w:customStyle="1" w:styleId="Heading2Char">
    <w:name w:val="Heading 2 Char"/>
    <w:basedOn w:val="DefaultParagraphFont"/>
    <w:link w:val="Heading2"/>
    <w:uiPriority w:val="9"/>
    <w:rsid w:val="009C4F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F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4F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2F"/>
    <w:rPr>
      <w:b/>
      <w:bCs/>
    </w:rPr>
  </w:style>
  <w:style w:type="character" w:styleId="Emphasis">
    <w:name w:val="Emphasis"/>
    <w:basedOn w:val="DefaultParagraphFont"/>
    <w:uiPriority w:val="20"/>
    <w:qFormat/>
    <w:rsid w:val="009C4F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4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7AC"/>
    <w:rPr>
      <w:color w:val="0000FF" w:themeColor="hyperlink"/>
      <w:u w:val="single"/>
    </w:rPr>
  </w:style>
  <w:style w:type="paragraph" w:styleId="Header">
    <w:name w:val="header"/>
    <w:basedOn w:val="Normal"/>
    <w:link w:val="HeaderChar"/>
    <w:uiPriority w:val="99"/>
    <w:unhideWhenUsed/>
    <w:rsid w:val="0063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71"/>
  </w:style>
  <w:style w:type="paragraph" w:styleId="Footer">
    <w:name w:val="footer"/>
    <w:basedOn w:val="Normal"/>
    <w:link w:val="FooterChar"/>
    <w:uiPriority w:val="99"/>
    <w:unhideWhenUsed/>
    <w:rsid w:val="0063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71"/>
  </w:style>
  <w:style w:type="paragraph" w:styleId="BalloonText">
    <w:name w:val="Balloon Text"/>
    <w:basedOn w:val="Normal"/>
    <w:link w:val="BalloonTextChar"/>
    <w:uiPriority w:val="99"/>
    <w:semiHidden/>
    <w:unhideWhenUsed/>
    <w:rsid w:val="0063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71"/>
    <w:rPr>
      <w:rFonts w:ascii="Tahoma" w:hAnsi="Tahoma" w:cs="Tahoma"/>
      <w:sz w:val="16"/>
      <w:szCs w:val="16"/>
    </w:rPr>
  </w:style>
  <w:style w:type="character" w:customStyle="1" w:styleId="Heading2Char">
    <w:name w:val="Heading 2 Char"/>
    <w:basedOn w:val="DefaultParagraphFont"/>
    <w:link w:val="Heading2"/>
    <w:uiPriority w:val="9"/>
    <w:rsid w:val="009C4F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F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4F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2F"/>
    <w:rPr>
      <w:b/>
      <w:bCs/>
    </w:rPr>
  </w:style>
  <w:style w:type="character" w:styleId="Emphasis">
    <w:name w:val="Emphasis"/>
    <w:basedOn w:val="DefaultParagraphFont"/>
    <w:uiPriority w:val="20"/>
    <w:qFormat/>
    <w:rsid w:val="009C4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6506">
      <w:bodyDiv w:val="1"/>
      <w:marLeft w:val="0"/>
      <w:marRight w:val="0"/>
      <w:marTop w:val="0"/>
      <w:marBottom w:val="0"/>
      <w:divBdr>
        <w:top w:val="none" w:sz="0" w:space="0" w:color="auto"/>
        <w:left w:val="none" w:sz="0" w:space="0" w:color="auto"/>
        <w:bottom w:val="none" w:sz="0" w:space="0" w:color="auto"/>
        <w:right w:val="none" w:sz="0" w:space="0" w:color="auto"/>
      </w:divBdr>
    </w:div>
    <w:div w:id="1952004636">
      <w:bodyDiv w:val="1"/>
      <w:marLeft w:val="0"/>
      <w:marRight w:val="0"/>
      <w:marTop w:val="0"/>
      <w:marBottom w:val="0"/>
      <w:divBdr>
        <w:top w:val="none" w:sz="0" w:space="0" w:color="auto"/>
        <w:left w:val="none" w:sz="0" w:space="0" w:color="auto"/>
        <w:bottom w:val="none" w:sz="0" w:space="0" w:color="auto"/>
        <w:right w:val="none" w:sz="0" w:space="0" w:color="auto"/>
      </w:divBdr>
    </w:div>
    <w:div w:id="21361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ntax.edu.vn/thong-tu-962015tt-btc-huong-dan-ve-thue-thu-nhap-doanh-nghiep/" TargetMode="External"/><Relationship Id="rId18" Type="http://schemas.openxmlformats.org/officeDocument/2006/relationships/hyperlink" Target="http://centax.edu.vn/thu-nhap-tu-hoat-dong-san-xuat-kinh-doanh-hang-hoa-dich-vu-o-nuoc-ngoa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ailythuecongminh.com/mot-so-diem-moi-tt39-2014tt-btc/" TargetMode="External"/><Relationship Id="rId7" Type="http://schemas.openxmlformats.org/officeDocument/2006/relationships/footnotes" Target="footnotes.xml"/><Relationship Id="rId12" Type="http://schemas.openxmlformats.org/officeDocument/2006/relationships/hyperlink" Target="http://centax.edu.vn/thong-tu-78-huong-dan-thi-hanh-luat-thue-thu-nhap-doanh-nghiep/" TargetMode="External"/><Relationship Id="rId17" Type="http://schemas.openxmlformats.org/officeDocument/2006/relationships/hyperlink" Target="http://centax.edu.vn/thong-tu-78-huong-dan-thi-hanh-luat-thue-thu-nhap-doanh-nghiep/" TargetMode="External"/><Relationship Id="rId25" Type="http://schemas.openxmlformats.org/officeDocument/2006/relationships/hyperlink" Target="mailto:nam.doanviet@gmail.com" TargetMode="External"/><Relationship Id="rId2" Type="http://schemas.openxmlformats.org/officeDocument/2006/relationships/numbering" Target="numbering.xml"/><Relationship Id="rId16" Type="http://schemas.openxmlformats.org/officeDocument/2006/relationships/hyperlink" Target="http://centax.edu.vn/thong-tu-78-huong-dan-thi-hanh-luat-thue-thu-nhap-doanh-nghiep/" TargetMode="External"/><Relationship Id="rId20" Type="http://schemas.openxmlformats.org/officeDocument/2006/relationships/hyperlink" Target="http://dailythuecongminh.com/diem-moi-thong-tu-962015tt-bt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ax.edu.vn/thong-tu-78-huong-dan-thi-hanh-luat-thue-thu-nhap-doanh-nghiep/" TargetMode="External"/><Relationship Id="rId24" Type="http://schemas.openxmlformats.org/officeDocument/2006/relationships/hyperlink" Target="mailto:namnv@office360.vn" TargetMode="External"/><Relationship Id="rId5" Type="http://schemas.openxmlformats.org/officeDocument/2006/relationships/settings" Target="settings.xml"/><Relationship Id="rId15" Type="http://schemas.openxmlformats.org/officeDocument/2006/relationships/hyperlink" Target="http://centax.edu.vn/thong-tu-78-huong-dan-thi-hanh-luat-thue-thu-nhap-doanh-nghiep/" TargetMode="External"/><Relationship Id="rId23" Type="http://schemas.openxmlformats.org/officeDocument/2006/relationships/hyperlink" Target="http://dailythuecongminh.com/diem-moi-thong-tu-962015tt-btc/"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dailythuecongminh.com/diem-moi-thong-tu-962015tt-btc/" TargetMode="External"/><Relationship Id="rId4" Type="http://schemas.microsoft.com/office/2007/relationships/stylesWithEffects" Target="stylesWithEffects.xml"/><Relationship Id="rId9" Type="http://schemas.openxmlformats.org/officeDocument/2006/relationships/hyperlink" Target="http://4.bp.blogspot.com/-JkUst9nR3As/VnkdCG6KC6I/AAAAAAAAAU0/nizbkUJP1g8/s1600/chi%2Bph%25C3%25AD%2Bkh%25C3%25B4ng%2B%25C4%2591%25C6%25B0%25E1%25BB%25A3c%2Btr%25E1%25BB%25AB.jpg" TargetMode="External"/><Relationship Id="rId14" Type="http://schemas.openxmlformats.org/officeDocument/2006/relationships/hyperlink" Target="http://centax.edu.vn/thong-tu-78-huong-dan-thi-hanh-luat-thue-thu-nhap-doanh-nghiep/" TargetMode="External"/><Relationship Id="rId22" Type="http://schemas.openxmlformats.org/officeDocument/2006/relationships/hyperlink" Target="http://dailythuecongminh.com/diem-moi-thong-tu-2192013tt-bt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Kh&#243;a h&#7885;c_H&#7885;c ph&#237;'!A7"/></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07AF-6075-4340-828B-B6FC4E2B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5895</Words>
  <Characters>33606</Characters>
  <Application>Microsoft Office Word</Application>
  <DocSecurity>0</DocSecurity>
  <Lines>280</Lines>
  <Paragraphs>78</Paragraphs>
  <ScaleCrop>false</ScaleCrop>
  <Company>home</Company>
  <LinksUpToDate>false</LinksUpToDate>
  <CharactersWithSpaces>39423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2017-11-23T00:43:00Z</cp:lastPrinted>
  <dcterms:created xsi:type="dcterms:W3CDTF">2017-11-30T03:53:00Z</dcterms:created>
  <dcterms:modified xsi:type="dcterms:W3CDTF">2017-11-30T04:39:00Z</dcterms:modified>
</cp:coreProperties>
</file>